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94" w:rsidRDefault="003A7D94" w:rsidP="0044079C">
      <w:pPr>
        <w:spacing w:after="0" w:line="240" w:lineRule="auto"/>
        <w:jc w:val="center"/>
        <w:rPr>
          <w:rFonts w:asciiTheme="majorBidi" w:eastAsia="Arial Unicode MS" w:hAnsiTheme="majorBidi" w:cstheme="majorBidi"/>
          <w:b/>
          <w:bCs/>
          <w:sz w:val="24"/>
          <w:szCs w:val="24"/>
        </w:rPr>
      </w:pPr>
    </w:p>
    <w:p w:rsidR="003A7D94" w:rsidRDefault="003A7D94" w:rsidP="0044079C">
      <w:pPr>
        <w:spacing w:after="0" w:line="240" w:lineRule="auto"/>
        <w:jc w:val="center"/>
        <w:rPr>
          <w:rFonts w:asciiTheme="majorBidi" w:eastAsia="Arial Unicode MS" w:hAnsiTheme="majorBidi" w:cstheme="majorBidi"/>
          <w:b/>
          <w:bCs/>
          <w:sz w:val="24"/>
          <w:szCs w:val="24"/>
        </w:rPr>
      </w:pP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भारत सरकार</w:t>
      </w: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गृह मंत्रालय</w:t>
      </w: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राज्‍य सभा</w:t>
      </w:r>
    </w:p>
    <w:p w:rsidR="0044079C" w:rsidRDefault="0044079C" w:rsidP="0044079C">
      <w:pPr>
        <w:spacing w:after="0" w:line="240" w:lineRule="auto"/>
        <w:ind w:right="-12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 xml:space="preserve">अतारांकित प्रश्‍न संख्या </w:t>
      </w:r>
      <w:r w:rsidR="00AC702C">
        <w:rPr>
          <w:rFonts w:asciiTheme="majorBidi" w:eastAsia="Arial Unicode MS" w:hAnsiTheme="majorBidi" w:cstheme="majorBidi"/>
          <w:b/>
          <w:bCs/>
          <w:sz w:val="24"/>
          <w:szCs w:val="24"/>
        </w:rPr>
        <w:t>1491</w:t>
      </w:r>
    </w:p>
    <w:p w:rsidR="0044079C" w:rsidRDefault="0044079C" w:rsidP="0044079C">
      <w:pPr>
        <w:spacing w:after="0" w:line="360" w:lineRule="auto"/>
        <w:ind w:right="-12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 xml:space="preserve">दिनांक </w:t>
      </w:r>
      <w:r>
        <w:rPr>
          <w:rFonts w:asciiTheme="majorBidi" w:eastAsia="Arial Unicode MS" w:hAnsiTheme="majorBidi" w:cstheme="majorBidi" w:hint="cs"/>
          <w:b/>
          <w:bCs/>
          <w:sz w:val="24"/>
          <w:szCs w:val="24"/>
          <w:cs/>
        </w:rPr>
        <w:t>0</w:t>
      </w:r>
      <w:r w:rsidR="00CD1476">
        <w:rPr>
          <w:rFonts w:asciiTheme="majorBidi" w:eastAsia="Arial Unicode MS" w:hAnsiTheme="majorBidi" w:cstheme="majorBidi"/>
          <w:b/>
          <w:bCs/>
          <w:sz w:val="24"/>
          <w:szCs w:val="24"/>
        </w:rPr>
        <w:t>4</w:t>
      </w:r>
      <w:r>
        <w:rPr>
          <w:rFonts w:asciiTheme="majorBidi" w:eastAsia="Arial Unicode MS" w:hAnsiTheme="majorBidi" w:cstheme="majorBidi"/>
          <w:b/>
          <w:bCs/>
          <w:sz w:val="24"/>
          <w:szCs w:val="24"/>
          <w:cs/>
        </w:rPr>
        <w:t>.</w:t>
      </w:r>
      <w:r>
        <w:rPr>
          <w:rFonts w:asciiTheme="majorBidi" w:eastAsia="Arial Unicode MS" w:hAnsiTheme="majorBidi" w:cstheme="majorBidi" w:hint="cs"/>
          <w:b/>
          <w:bCs/>
          <w:sz w:val="24"/>
          <w:szCs w:val="24"/>
          <w:cs/>
        </w:rPr>
        <w:t>0</w:t>
      </w:r>
      <w:r w:rsidR="00CD1476">
        <w:rPr>
          <w:rFonts w:asciiTheme="majorBidi" w:eastAsia="Arial Unicode MS" w:hAnsiTheme="majorBidi" w:cstheme="majorBidi"/>
          <w:b/>
          <w:bCs/>
          <w:sz w:val="24"/>
          <w:szCs w:val="24"/>
        </w:rPr>
        <w:t>3</w:t>
      </w:r>
      <w:r>
        <w:rPr>
          <w:rFonts w:asciiTheme="majorBidi" w:eastAsia="Arial Unicode MS" w:hAnsiTheme="majorBidi" w:cstheme="majorBidi"/>
          <w:b/>
          <w:bCs/>
          <w:sz w:val="24"/>
          <w:szCs w:val="24"/>
          <w:cs/>
        </w:rPr>
        <w:t>.20</w:t>
      </w:r>
      <w:r>
        <w:rPr>
          <w:rFonts w:asciiTheme="majorBidi" w:eastAsia="Arial Unicode MS" w:hAnsiTheme="majorBidi" w:cstheme="majorBidi" w:hint="cs"/>
          <w:b/>
          <w:bCs/>
          <w:sz w:val="24"/>
          <w:szCs w:val="24"/>
          <w:cs/>
        </w:rPr>
        <w:t>20</w:t>
      </w:r>
      <w:r w:rsidR="008E6061">
        <w:rPr>
          <w:rFonts w:asciiTheme="majorBidi" w:eastAsia="Arial Unicode MS" w:hAnsiTheme="majorBidi" w:cstheme="majorBidi"/>
          <w:b/>
          <w:bCs/>
          <w:sz w:val="24"/>
          <w:szCs w:val="24"/>
          <w:cs/>
        </w:rPr>
        <w:t>/</w:t>
      </w:r>
      <w:r w:rsidR="00CE599E">
        <w:rPr>
          <w:rFonts w:asciiTheme="majorBidi" w:eastAsia="Arial Unicode MS" w:hAnsiTheme="majorBidi" w:cstheme="majorBidi" w:hint="cs"/>
          <w:b/>
          <w:bCs/>
          <w:sz w:val="24"/>
          <w:szCs w:val="24"/>
          <w:cs/>
        </w:rPr>
        <w:t>1</w:t>
      </w:r>
      <w:r w:rsidR="00CE599E">
        <w:rPr>
          <w:rFonts w:asciiTheme="majorBidi" w:eastAsia="Arial Unicode MS" w:hAnsiTheme="majorBidi" w:cstheme="majorBidi"/>
          <w:b/>
          <w:bCs/>
          <w:sz w:val="24"/>
          <w:szCs w:val="24"/>
        </w:rPr>
        <w:t>4</w:t>
      </w:r>
      <w:r>
        <w:rPr>
          <w:rFonts w:asciiTheme="majorBidi" w:eastAsia="Arial Unicode MS" w:hAnsiTheme="majorBidi" w:cstheme="majorBidi" w:hint="cs"/>
          <w:b/>
          <w:bCs/>
          <w:sz w:val="24"/>
          <w:szCs w:val="24"/>
          <w:cs/>
        </w:rPr>
        <w:t xml:space="preserve">, </w:t>
      </w:r>
      <w:r w:rsidR="00CE599E" w:rsidRPr="00CE599E">
        <w:rPr>
          <w:rFonts w:asciiTheme="majorBidi" w:eastAsia="Arial Unicode MS" w:hAnsiTheme="majorBidi" w:cstheme="majorBidi"/>
          <w:b/>
          <w:bCs/>
          <w:sz w:val="24"/>
          <w:szCs w:val="24"/>
          <w:cs/>
        </w:rPr>
        <w:t>फाल्गुन</w:t>
      </w:r>
      <w:r>
        <w:rPr>
          <w:rFonts w:asciiTheme="majorBidi" w:eastAsia="Arial Unicode MS" w:hAnsiTheme="majorBidi" w:cstheme="majorBidi"/>
          <w:b/>
          <w:bCs/>
          <w:sz w:val="24"/>
          <w:szCs w:val="24"/>
          <w:cs/>
        </w:rPr>
        <w:t>,1941 (शक) को उत्तर के लिए</w:t>
      </w:r>
    </w:p>
    <w:p w:rsidR="0044079C" w:rsidRDefault="0044079C" w:rsidP="0044079C">
      <w:pPr>
        <w:spacing w:after="0" w:line="360" w:lineRule="auto"/>
        <w:jc w:val="both"/>
        <w:rPr>
          <w:rFonts w:asciiTheme="majorBidi" w:eastAsia="Arial Unicode MS" w:hAnsiTheme="majorBidi" w:cstheme="majorBidi"/>
          <w:b/>
          <w:bCs/>
          <w:sz w:val="2"/>
          <w:szCs w:val="2"/>
        </w:rPr>
      </w:pPr>
    </w:p>
    <w:p w:rsidR="0044079C" w:rsidRDefault="0044079C" w:rsidP="0044079C">
      <w:pPr>
        <w:spacing w:after="0" w:line="240" w:lineRule="auto"/>
        <w:jc w:val="both"/>
        <w:rPr>
          <w:rFonts w:asciiTheme="majorBidi" w:eastAsia="Arial Unicode MS" w:hAnsiTheme="majorBidi" w:cstheme="majorBidi"/>
          <w:b/>
          <w:bCs/>
          <w:sz w:val="6"/>
          <w:szCs w:val="6"/>
        </w:rPr>
      </w:pPr>
    </w:p>
    <w:p w:rsidR="00AC702C" w:rsidRPr="00AC702C" w:rsidRDefault="004D523F" w:rsidP="002B6D19">
      <w:pPr>
        <w:spacing w:after="0"/>
        <w:rPr>
          <w:rFonts w:cs="Mangal"/>
          <w:b/>
          <w:bCs/>
          <w:sz w:val="24"/>
          <w:szCs w:val="24"/>
        </w:rPr>
      </w:pPr>
      <w:r>
        <w:rPr>
          <w:rFonts w:cs="Mangal"/>
          <w:b/>
          <w:bCs/>
          <w:sz w:val="24"/>
          <w:szCs w:val="24"/>
          <w:cs/>
        </w:rPr>
        <w:t xml:space="preserve">महिलाओं के </w:t>
      </w:r>
      <w:r w:rsidR="009839CF" w:rsidRPr="009839CF">
        <w:rPr>
          <w:rFonts w:ascii="Nirmala UI" w:hAnsi="Nirmala UI" w:cs="Nirmala UI"/>
          <w:b/>
          <w:bCs/>
          <w:sz w:val="23"/>
          <w:szCs w:val="23"/>
          <w:cs/>
        </w:rPr>
        <w:t>विरूद्ध</w:t>
      </w:r>
      <w:r w:rsidR="009839CF">
        <w:rPr>
          <w:rFonts w:cs="Mangal"/>
          <w:b/>
          <w:bCs/>
          <w:sz w:val="24"/>
          <w:szCs w:val="24"/>
          <w:cs/>
        </w:rPr>
        <w:t xml:space="preserve"> अपराध</w:t>
      </w:r>
      <w:r>
        <w:rPr>
          <w:rFonts w:cs="Mangal"/>
          <w:b/>
          <w:bCs/>
          <w:sz w:val="24"/>
          <w:szCs w:val="24"/>
          <w:cs/>
        </w:rPr>
        <w:t xml:space="preserve"> संबंध</w:t>
      </w:r>
      <w:r w:rsidR="00AC702C" w:rsidRPr="00AC702C">
        <w:rPr>
          <w:rFonts w:cs="Mangal"/>
          <w:b/>
          <w:bCs/>
          <w:sz w:val="24"/>
          <w:szCs w:val="24"/>
          <w:cs/>
        </w:rPr>
        <w:t>ी</w:t>
      </w:r>
      <w:r w:rsidR="00AC702C">
        <w:rPr>
          <w:rFonts w:cs="Mangal"/>
          <w:b/>
          <w:bCs/>
          <w:sz w:val="24"/>
          <w:szCs w:val="24"/>
        </w:rPr>
        <w:t xml:space="preserve"> </w:t>
      </w:r>
      <w:r>
        <w:rPr>
          <w:rFonts w:cs="Mangal"/>
          <w:b/>
          <w:bCs/>
          <w:sz w:val="24"/>
          <w:szCs w:val="24"/>
        </w:rPr>
        <w:t xml:space="preserve"> </w:t>
      </w:r>
      <w:r w:rsidR="00AC702C" w:rsidRPr="00AC702C">
        <w:rPr>
          <w:rFonts w:cs="Mangal"/>
          <w:b/>
          <w:bCs/>
          <w:sz w:val="24"/>
          <w:szCs w:val="24"/>
          <w:cs/>
        </w:rPr>
        <w:t>कार्यबल/समिति</w:t>
      </w:r>
    </w:p>
    <w:p w:rsidR="00AC702C" w:rsidRDefault="00AC702C" w:rsidP="002B6D19">
      <w:pPr>
        <w:spacing w:after="0"/>
        <w:rPr>
          <w:b/>
          <w:bCs/>
          <w:sz w:val="24"/>
          <w:szCs w:val="24"/>
        </w:rPr>
      </w:pPr>
      <w:r w:rsidRPr="00AC702C">
        <w:rPr>
          <w:b/>
          <w:bCs/>
          <w:sz w:val="24"/>
          <w:szCs w:val="24"/>
        </w:rPr>
        <w:t xml:space="preserve">1491. </w:t>
      </w:r>
      <w:r w:rsidRPr="00AC702C">
        <w:rPr>
          <w:b/>
          <w:bCs/>
          <w:sz w:val="24"/>
          <w:szCs w:val="24"/>
          <w:cs/>
        </w:rPr>
        <w:t xml:space="preserve">श्री बी॰ लिंग्याह यादवः </w:t>
      </w:r>
    </w:p>
    <w:p w:rsidR="008A73A4" w:rsidRDefault="008A73A4" w:rsidP="002B6D19">
      <w:pPr>
        <w:spacing w:after="0"/>
        <w:rPr>
          <w:rFonts w:cs="Mangal"/>
          <w:b/>
          <w:bCs/>
          <w:sz w:val="24"/>
          <w:szCs w:val="24"/>
        </w:rPr>
      </w:pPr>
      <w:r w:rsidRPr="00FE3872">
        <w:rPr>
          <w:rFonts w:cs="Mangal"/>
          <w:b/>
          <w:bCs/>
          <w:sz w:val="24"/>
          <w:szCs w:val="24"/>
          <w:cs/>
        </w:rPr>
        <w:t>क्या गृह मंत्री यह</w:t>
      </w:r>
      <w:r w:rsidR="00FE3872" w:rsidRPr="00FE3872">
        <w:rPr>
          <w:rFonts w:hint="cs"/>
          <w:b/>
          <w:bCs/>
          <w:sz w:val="24"/>
          <w:szCs w:val="24"/>
          <w:cs/>
        </w:rPr>
        <w:t xml:space="preserve"> </w:t>
      </w:r>
      <w:r w:rsidRPr="00FE3872">
        <w:rPr>
          <w:rFonts w:cs="Mangal"/>
          <w:b/>
          <w:bCs/>
          <w:sz w:val="24"/>
          <w:szCs w:val="24"/>
          <w:cs/>
        </w:rPr>
        <w:t>बताने की कृपा करेंगे किः</w:t>
      </w:r>
    </w:p>
    <w:p w:rsidR="002B6D19" w:rsidRPr="002B6D19" w:rsidRDefault="002B6D19" w:rsidP="002B6D19">
      <w:pPr>
        <w:spacing w:after="0"/>
        <w:rPr>
          <w:b/>
          <w:bCs/>
          <w:sz w:val="14"/>
          <w:szCs w:val="14"/>
        </w:rPr>
      </w:pPr>
    </w:p>
    <w:p w:rsidR="00AC702C" w:rsidRDefault="00AC702C" w:rsidP="002B6D19">
      <w:pPr>
        <w:spacing w:after="0" w:line="240" w:lineRule="auto"/>
        <w:jc w:val="both"/>
        <w:rPr>
          <w:b/>
          <w:bCs/>
          <w:sz w:val="24"/>
          <w:szCs w:val="24"/>
        </w:rPr>
      </w:pPr>
      <w:r w:rsidRPr="00AC702C">
        <w:rPr>
          <w:b/>
          <w:bCs/>
          <w:sz w:val="24"/>
          <w:szCs w:val="24"/>
        </w:rPr>
        <w:t>(</w:t>
      </w:r>
      <w:r w:rsidRPr="00AC702C">
        <w:rPr>
          <w:b/>
          <w:bCs/>
          <w:sz w:val="24"/>
          <w:szCs w:val="24"/>
          <w:cs/>
        </w:rPr>
        <w:t>क) क्या सरकार ने महिलाओं और बच्चों</w:t>
      </w:r>
      <w:r w:rsidRPr="00AC702C">
        <w:rPr>
          <w:b/>
          <w:bCs/>
          <w:sz w:val="24"/>
          <w:szCs w:val="24"/>
        </w:rPr>
        <w:t>,</w:t>
      </w:r>
      <w:r>
        <w:rPr>
          <w:b/>
          <w:bCs/>
          <w:sz w:val="24"/>
          <w:szCs w:val="24"/>
        </w:rPr>
        <w:t xml:space="preserve"> </w:t>
      </w:r>
      <w:r w:rsidRPr="00AC702C">
        <w:rPr>
          <w:b/>
          <w:bCs/>
          <w:sz w:val="24"/>
          <w:szCs w:val="24"/>
          <w:cs/>
        </w:rPr>
        <w:t xml:space="preserve">विशेष रूप से बालिकाओं के </w:t>
      </w:r>
      <w:r w:rsidR="009839CF" w:rsidRPr="009839CF">
        <w:rPr>
          <w:rFonts w:ascii="Nirmala UI" w:hAnsi="Nirmala UI" w:cs="Nirmala UI"/>
          <w:b/>
          <w:bCs/>
          <w:sz w:val="23"/>
          <w:szCs w:val="23"/>
          <w:cs/>
        </w:rPr>
        <w:t>विरूद्ध</w:t>
      </w:r>
      <w:r w:rsidR="009839CF">
        <w:rPr>
          <w:b/>
          <w:bCs/>
          <w:sz w:val="24"/>
          <w:szCs w:val="24"/>
          <w:cs/>
        </w:rPr>
        <w:t xml:space="preserve"> अपराध</w:t>
      </w:r>
      <w:r w:rsidRPr="00AC702C">
        <w:rPr>
          <w:b/>
          <w:bCs/>
          <w:sz w:val="24"/>
          <w:szCs w:val="24"/>
          <w:cs/>
        </w:rPr>
        <w:t xml:space="preserve"> के</w:t>
      </w:r>
      <w:r>
        <w:rPr>
          <w:b/>
          <w:bCs/>
          <w:sz w:val="24"/>
          <w:szCs w:val="24"/>
        </w:rPr>
        <w:t xml:space="preserve"> </w:t>
      </w:r>
      <w:r w:rsidR="009839CF">
        <w:rPr>
          <w:b/>
          <w:bCs/>
          <w:sz w:val="24"/>
          <w:szCs w:val="24"/>
          <w:cs/>
        </w:rPr>
        <w:t>संबंध</w:t>
      </w:r>
      <w:r>
        <w:rPr>
          <w:b/>
          <w:bCs/>
          <w:sz w:val="24"/>
          <w:szCs w:val="24"/>
          <w:cs/>
        </w:rPr>
        <w:t xml:space="preserve"> में</w:t>
      </w:r>
      <w:r>
        <w:rPr>
          <w:b/>
          <w:bCs/>
          <w:sz w:val="24"/>
          <w:szCs w:val="24"/>
        </w:rPr>
        <w:t xml:space="preserve"> </w:t>
      </w:r>
      <w:r w:rsidRPr="00AC702C">
        <w:rPr>
          <w:b/>
          <w:bCs/>
          <w:sz w:val="24"/>
          <w:szCs w:val="24"/>
          <w:cs/>
        </w:rPr>
        <w:t>किसी कार्यबल/समिति का गठन किया</w:t>
      </w:r>
      <w:r>
        <w:rPr>
          <w:b/>
          <w:bCs/>
          <w:sz w:val="24"/>
          <w:szCs w:val="24"/>
        </w:rPr>
        <w:t xml:space="preserve"> </w:t>
      </w:r>
      <w:r w:rsidRPr="00AC702C">
        <w:rPr>
          <w:b/>
          <w:bCs/>
          <w:sz w:val="24"/>
          <w:szCs w:val="24"/>
          <w:cs/>
        </w:rPr>
        <w:t>है</w:t>
      </w:r>
      <w:r w:rsidRPr="00AC702C">
        <w:rPr>
          <w:b/>
          <w:bCs/>
          <w:sz w:val="24"/>
          <w:szCs w:val="24"/>
        </w:rPr>
        <w:t>;</w:t>
      </w:r>
      <w:r>
        <w:rPr>
          <w:b/>
          <w:bCs/>
          <w:sz w:val="24"/>
          <w:szCs w:val="24"/>
        </w:rPr>
        <w:t xml:space="preserve"> </w:t>
      </w:r>
    </w:p>
    <w:p w:rsidR="00AC702C" w:rsidRPr="002B6D19" w:rsidRDefault="00AC702C" w:rsidP="00AC702C">
      <w:pPr>
        <w:spacing w:after="0" w:line="240" w:lineRule="auto"/>
        <w:jc w:val="both"/>
        <w:rPr>
          <w:b/>
          <w:bCs/>
          <w:sz w:val="16"/>
          <w:szCs w:val="16"/>
        </w:rPr>
      </w:pPr>
    </w:p>
    <w:p w:rsidR="00AC702C" w:rsidRDefault="00AC702C" w:rsidP="00AC702C">
      <w:pPr>
        <w:spacing w:after="0" w:line="240" w:lineRule="auto"/>
        <w:jc w:val="both"/>
        <w:rPr>
          <w:b/>
          <w:bCs/>
          <w:sz w:val="24"/>
          <w:szCs w:val="24"/>
        </w:rPr>
      </w:pPr>
      <w:r w:rsidRPr="00AC702C">
        <w:rPr>
          <w:b/>
          <w:bCs/>
          <w:sz w:val="24"/>
          <w:szCs w:val="24"/>
        </w:rPr>
        <w:t>(</w:t>
      </w:r>
      <w:r w:rsidRPr="00AC702C">
        <w:rPr>
          <w:b/>
          <w:bCs/>
          <w:sz w:val="24"/>
          <w:szCs w:val="24"/>
          <w:cs/>
        </w:rPr>
        <w:t>ख) यदि हां</w:t>
      </w:r>
      <w:r w:rsidRPr="00AC702C">
        <w:rPr>
          <w:b/>
          <w:bCs/>
          <w:sz w:val="24"/>
          <w:szCs w:val="24"/>
        </w:rPr>
        <w:t xml:space="preserve">, </w:t>
      </w:r>
      <w:r w:rsidRPr="00AC702C">
        <w:rPr>
          <w:b/>
          <w:bCs/>
          <w:sz w:val="24"/>
          <w:szCs w:val="24"/>
          <w:cs/>
        </w:rPr>
        <w:t>तो विगत पांच वर्षों और चालू</w:t>
      </w:r>
      <w:r>
        <w:rPr>
          <w:b/>
          <w:bCs/>
          <w:sz w:val="24"/>
          <w:szCs w:val="24"/>
        </w:rPr>
        <w:t xml:space="preserve"> </w:t>
      </w:r>
      <w:r w:rsidR="004D523F">
        <w:rPr>
          <w:b/>
          <w:bCs/>
          <w:sz w:val="24"/>
          <w:szCs w:val="24"/>
          <w:cs/>
        </w:rPr>
        <w:t>वर्ष का तत्संबंध</w:t>
      </w:r>
      <w:r w:rsidRPr="00AC702C">
        <w:rPr>
          <w:b/>
          <w:bCs/>
          <w:sz w:val="24"/>
          <w:szCs w:val="24"/>
          <w:cs/>
        </w:rPr>
        <w:t>ी ब्यौरा क्या है</w:t>
      </w:r>
      <w:r w:rsidRPr="00AC702C">
        <w:rPr>
          <w:b/>
          <w:bCs/>
          <w:sz w:val="24"/>
          <w:szCs w:val="24"/>
        </w:rPr>
        <w:t xml:space="preserve">; </w:t>
      </w:r>
      <w:r w:rsidRPr="00AC702C">
        <w:rPr>
          <w:b/>
          <w:bCs/>
          <w:sz w:val="24"/>
          <w:szCs w:val="24"/>
          <w:cs/>
        </w:rPr>
        <w:t>और</w:t>
      </w:r>
    </w:p>
    <w:p w:rsidR="00AC702C" w:rsidRPr="002B6D19" w:rsidRDefault="00AC702C" w:rsidP="00AC702C">
      <w:pPr>
        <w:spacing w:after="0" w:line="240" w:lineRule="auto"/>
        <w:jc w:val="both"/>
        <w:rPr>
          <w:b/>
          <w:bCs/>
          <w:sz w:val="14"/>
          <w:szCs w:val="14"/>
        </w:rPr>
      </w:pPr>
    </w:p>
    <w:p w:rsidR="00AC702C" w:rsidRDefault="00AC702C" w:rsidP="00AC702C">
      <w:pPr>
        <w:spacing w:after="0" w:line="240" w:lineRule="auto"/>
        <w:jc w:val="both"/>
        <w:rPr>
          <w:b/>
          <w:bCs/>
          <w:sz w:val="24"/>
          <w:szCs w:val="24"/>
        </w:rPr>
      </w:pPr>
      <w:r w:rsidRPr="00AC702C">
        <w:rPr>
          <w:b/>
          <w:bCs/>
          <w:sz w:val="24"/>
          <w:szCs w:val="24"/>
        </w:rPr>
        <w:t>(</w:t>
      </w:r>
      <w:r w:rsidRPr="00AC702C">
        <w:rPr>
          <w:b/>
          <w:bCs/>
          <w:sz w:val="24"/>
          <w:szCs w:val="24"/>
          <w:cs/>
        </w:rPr>
        <w:t>ग) न्यायमूर्ति जे॰एस॰ वर्मा समिति के प्रतिवेदन</w:t>
      </w:r>
      <w:r>
        <w:rPr>
          <w:b/>
          <w:bCs/>
          <w:sz w:val="24"/>
          <w:szCs w:val="24"/>
        </w:rPr>
        <w:t xml:space="preserve"> </w:t>
      </w:r>
      <w:r w:rsidRPr="00AC702C">
        <w:rPr>
          <w:b/>
          <w:bCs/>
          <w:sz w:val="24"/>
          <w:szCs w:val="24"/>
          <w:cs/>
        </w:rPr>
        <w:t>सहित कौन-कौन सी सिफारिशें प्राप्त/स्वीकृत/</w:t>
      </w:r>
      <w:r>
        <w:rPr>
          <w:b/>
          <w:bCs/>
          <w:sz w:val="24"/>
          <w:szCs w:val="24"/>
        </w:rPr>
        <w:t xml:space="preserve"> </w:t>
      </w:r>
      <w:r w:rsidRPr="00AC702C">
        <w:rPr>
          <w:b/>
          <w:bCs/>
          <w:sz w:val="24"/>
          <w:szCs w:val="24"/>
          <w:cs/>
        </w:rPr>
        <w:t>कार्यान्वित की गई</w:t>
      </w:r>
      <w:r w:rsidRPr="00AC702C">
        <w:rPr>
          <w:b/>
          <w:bCs/>
          <w:sz w:val="24"/>
          <w:szCs w:val="24"/>
        </w:rPr>
        <w:t>?</w:t>
      </w:r>
    </w:p>
    <w:p w:rsidR="00AC702C" w:rsidRPr="002B6D19" w:rsidRDefault="00AC702C" w:rsidP="00AC702C">
      <w:pPr>
        <w:spacing w:after="0" w:line="240" w:lineRule="auto"/>
        <w:jc w:val="both"/>
        <w:rPr>
          <w:b/>
          <w:bCs/>
          <w:sz w:val="16"/>
          <w:szCs w:val="16"/>
        </w:rPr>
      </w:pPr>
    </w:p>
    <w:p w:rsidR="00CE599E" w:rsidRPr="00CE599E" w:rsidRDefault="00CE599E" w:rsidP="00CE599E">
      <w:pPr>
        <w:spacing w:after="0" w:line="240" w:lineRule="auto"/>
        <w:jc w:val="both"/>
        <w:rPr>
          <w:b/>
          <w:bCs/>
          <w:sz w:val="24"/>
          <w:szCs w:val="24"/>
        </w:rPr>
      </w:pPr>
    </w:p>
    <w:p w:rsidR="0044079C" w:rsidRDefault="0044079C" w:rsidP="0044079C">
      <w:pPr>
        <w:spacing w:after="0" w:line="240" w:lineRule="auto"/>
        <w:jc w:val="both"/>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उत्तर</w:t>
      </w:r>
    </w:p>
    <w:p w:rsidR="00CE599E" w:rsidRDefault="00CE599E" w:rsidP="00CE599E">
      <w:pP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गृह मंत्रालय में राज्य मंत्री (</w:t>
      </w:r>
      <w:r w:rsidR="009F7B4E">
        <w:rPr>
          <w:rFonts w:asciiTheme="majorBidi" w:eastAsia="Arial Unicode MS" w:hAnsiTheme="majorBidi" w:cstheme="majorBidi"/>
          <w:b/>
          <w:bCs/>
          <w:sz w:val="24"/>
          <w:szCs w:val="24"/>
          <w:cs/>
        </w:rPr>
        <w:t>श्री जी किशन रेड्डी</w:t>
      </w:r>
      <w:r>
        <w:rPr>
          <w:rFonts w:asciiTheme="majorBidi" w:eastAsia="Arial Unicode MS" w:hAnsiTheme="majorBidi" w:cstheme="majorBidi"/>
          <w:b/>
          <w:bCs/>
          <w:sz w:val="24"/>
          <w:szCs w:val="24"/>
          <w:cs/>
        </w:rPr>
        <w:t>)</w:t>
      </w:r>
    </w:p>
    <w:p w:rsidR="009839CF" w:rsidRDefault="009839CF" w:rsidP="009839CF">
      <w:pPr>
        <w:jc w:val="both"/>
        <w:rPr>
          <w:rFonts w:ascii="Mangal" w:eastAsia="Arial Unicode MS" w:hAnsi="Mangal"/>
          <w:sz w:val="24"/>
          <w:szCs w:val="24"/>
        </w:rPr>
      </w:pPr>
      <w:r>
        <w:rPr>
          <w:rFonts w:ascii="Mangal" w:eastAsia="Arial Unicode MS" w:hAnsi="Mangal"/>
          <w:sz w:val="24"/>
          <w:szCs w:val="24"/>
          <w:cs/>
        </w:rPr>
        <w:t>(क) और (</w:t>
      </w:r>
      <w:r>
        <w:rPr>
          <w:rFonts w:ascii="Mangal" w:eastAsia="Arial Unicode MS" w:hAnsi="Mangal" w:hint="cs"/>
          <w:sz w:val="24"/>
          <w:szCs w:val="24"/>
          <w:cs/>
        </w:rPr>
        <w:t>ख</w:t>
      </w:r>
      <w:r w:rsidRPr="007B44E9">
        <w:rPr>
          <w:rFonts w:ascii="Mangal" w:eastAsia="Arial Unicode MS" w:hAnsi="Mangal"/>
          <w:sz w:val="24"/>
          <w:szCs w:val="24"/>
          <w:cs/>
        </w:rPr>
        <w:t xml:space="preserve">): </w:t>
      </w:r>
      <w:r>
        <w:rPr>
          <w:rFonts w:ascii="Mangal" w:eastAsia="Arial Unicode MS" w:hAnsi="Mangal"/>
          <w:sz w:val="24"/>
          <w:szCs w:val="24"/>
          <w:cs/>
        </w:rPr>
        <w:t xml:space="preserve">इस उद्देश्‍य हेतु विशेष रूप से किसी कार्यबल/समिति का गठन नहीं किया गया है। </w:t>
      </w:r>
    </w:p>
    <w:p w:rsidR="009839CF" w:rsidRDefault="009839CF" w:rsidP="009839CF">
      <w:pPr>
        <w:jc w:val="both"/>
        <w:rPr>
          <w:sz w:val="24"/>
          <w:szCs w:val="24"/>
        </w:rPr>
      </w:pPr>
      <w:r>
        <w:rPr>
          <w:rFonts w:hint="cs"/>
          <w:sz w:val="24"/>
          <w:szCs w:val="24"/>
          <w:cs/>
        </w:rPr>
        <w:t>(ग)</w:t>
      </w:r>
      <w:r>
        <w:rPr>
          <w:sz w:val="24"/>
          <w:szCs w:val="24"/>
        </w:rPr>
        <w:t>:</w:t>
      </w:r>
      <w:r>
        <w:rPr>
          <w:rFonts w:hint="cs"/>
          <w:sz w:val="24"/>
          <w:szCs w:val="24"/>
          <w:cs/>
        </w:rPr>
        <w:t xml:space="preserve"> न्यायमूर्ति वर्मा समिति की सिफारिशों को ध्यान में रखते हुए</w:t>
      </w:r>
      <w:r>
        <w:rPr>
          <w:rFonts w:hint="cs"/>
          <w:sz w:val="24"/>
          <w:szCs w:val="24"/>
        </w:rPr>
        <w:t>,</w:t>
      </w:r>
      <w:r>
        <w:rPr>
          <w:rFonts w:hint="cs"/>
          <w:sz w:val="24"/>
          <w:szCs w:val="24"/>
          <w:cs/>
        </w:rPr>
        <w:t xml:space="preserve"> सरकार ने यौन उत्पीड़न, निर्वस्त्र करने के इरादे से महिलाओं पर हमले अथवा आपराधिक बल के प्रयोग</w:t>
      </w:r>
      <w:r>
        <w:rPr>
          <w:sz w:val="24"/>
          <w:szCs w:val="24"/>
        </w:rPr>
        <w:t xml:space="preserve">; </w:t>
      </w:r>
      <w:r>
        <w:rPr>
          <w:rFonts w:hint="cs"/>
          <w:sz w:val="24"/>
          <w:szCs w:val="24"/>
          <w:cs/>
        </w:rPr>
        <w:t>घूरने</w:t>
      </w:r>
      <w:r>
        <w:rPr>
          <w:sz w:val="24"/>
          <w:szCs w:val="24"/>
        </w:rPr>
        <w:t xml:space="preserve">; </w:t>
      </w:r>
      <w:r>
        <w:rPr>
          <w:rFonts w:hint="cs"/>
          <w:sz w:val="24"/>
          <w:szCs w:val="24"/>
          <w:cs/>
        </w:rPr>
        <w:t>पीछा करने</w:t>
      </w:r>
      <w:r>
        <w:rPr>
          <w:sz w:val="24"/>
          <w:szCs w:val="24"/>
        </w:rPr>
        <w:t>;</w:t>
      </w:r>
      <w:r>
        <w:rPr>
          <w:rFonts w:hint="cs"/>
          <w:sz w:val="24"/>
          <w:szCs w:val="24"/>
          <w:cs/>
        </w:rPr>
        <w:t xml:space="preserve"> और बलात्कार से संबंधित दांडिक कानूनों (भारतीय दंड संहिता, दंड प्रक्रिया संहिता, भारतीय साक्ष्य अधिनियम और लैगिंक अपराधों से बालकों का संरक्षण अधिनियम, 2012) में पहले ही विभिन्न संशोधन किए हैं। </w:t>
      </w:r>
    </w:p>
    <w:p w:rsidR="009839CF" w:rsidRDefault="009839CF" w:rsidP="009839CF">
      <w:pPr>
        <w:jc w:val="both"/>
        <w:rPr>
          <w:sz w:val="24"/>
          <w:szCs w:val="24"/>
        </w:rPr>
      </w:pPr>
      <w:r>
        <w:rPr>
          <w:rFonts w:hint="cs"/>
          <w:sz w:val="24"/>
          <w:szCs w:val="24"/>
          <w:cs/>
        </w:rPr>
        <w:tab/>
        <w:t xml:space="preserve">इसके अतिरिक्त, न्यायमूर्ति वर्मा समिति की रिपोर्ट में की गई सिफारिश के अनुसरण में, घरेलू नौकरों को महिलाओं का कार्यस्थल पर लैंगिक उत्पीड़न (निवारण, प्रतिषेध एवं प्रतितोष) अधिनियम, 2013 के दायरे में शामिल किया गया था। </w:t>
      </w:r>
    </w:p>
    <w:p w:rsidR="002B6D19" w:rsidRDefault="002B6D19" w:rsidP="009839CF">
      <w:pPr>
        <w:jc w:val="both"/>
        <w:rPr>
          <w:sz w:val="24"/>
          <w:szCs w:val="24"/>
        </w:rPr>
      </w:pPr>
    </w:p>
    <w:p w:rsidR="009839CF" w:rsidRPr="006D7DA6" w:rsidRDefault="009839CF" w:rsidP="009839CF">
      <w:pPr>
        <w:pStyle w:val="NoSpacing"/>
        <w:jc w:val="center"/>
        <w:rPr>
          <w:rFonts w:ascii="Arial Unicode MS" w:eastAsia="Arial Unicode MS" w:hAnsi="Arial Unicode MS" w:cs="Arial Unicode MS"/>
          <w:color w:val="222222"/>
          <w:sz w:val="24"/>
          <w:szCs w:val="24"/>
        </w:rPr>
      </w:pPr>
      <w:r w:rsidRPr="006D7DA6">
        <w:rPr>
          <w:rFonts w:ascii="Arial Unicode MS" w:eastAsia="Arial Unicode MS" w:hAnsi="Arial Unicode MS" w:cs="Arial Unicode MS" w:hint="cs"/>
          <w:color w:val="222222"/>
          <w:sz w:val="24"/>
          <w:szCs w:val="24"/>
          <w:rtl/>
          <w:cs/>
        </w:rPr>
        <w:t>*****</w:t>
      </w:r>
    </w:p>
    <w:p w:rsidR="009839CF" w:rsidRPr="007B44E9" w:rsidRDefault="009839CF" w:rsidP="009839CF">
      <w:pPr>
        <w:spacing w:after="0" w:line="360" w:lineRule="auto"/>
        <w:jc w:val="both"/>
        <w:rPr>
          <w:rFonts w:ascii="Mangal" w:eastAsia="Arial Unicode MS" w:hAnsi="Mangal"/>
          <w:sz w:val="24"/>
          <w:szCs w:val="24"/>
        </w:rPr>
      </w:pPr>
    </w:p>
    <w:p w:rsidR="009839CF" w:rsidRDefault="009839CF" w:rsidP="00CE599E">
      <w:pPr>
        <w:rPr>
          <w:rFonts w:asciiTheme="majorBidi" w:eastAsia="Arial Unicode MS" w:hAnsiTheme="majorBidi" w:cstheme="majorBidi"/>
          <w:b/>
          <w:bCs/>
          <w:sz w:val="24"/>
          <w:szCs w:val="24"/>
        </w:rPr>
      </w:pPr>
    </w:p>
    <w:p w:rsidR="009D32B1" w:rsidRDefault="009D32B1"/>
    <w:sectPr w:rsidR="009D32B1" w:rsidSect="00307EFA">
      <w:pgSz w:w="12240" w:h="15840"/>
      <w:pgMar w:top="360" w:right="108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4079C"/>
    <w:rsid w:val="000157CF"/>
    <w:rsid w:val="000A0D4F"/>
    <w:rsid w:val="001333E2"/>
    <w:rsid w:val="001E5FC8"/>
    <w:rsid w:val="002442E2"/>
    <w:rsid w:val="002B6D19"/>
    <w:rsid w:val="00307EFA"/>
    <w:rsid w:val="0032753C"/>
    <w:rsid w:val="003A7D94"/>
    <w:rsid w:val="0044079C"/>
    <w:rsid w:val="004A67E4"/>
    <w:rsid w:val="004D523F"/>
    <w:rsid w:val="00522B6A"/>
    <w:rsid w:val="005A23F6"/>
    <w:rsid w:val="006830BC"/>
    <w:rsid w:val="006B1B5C"/>
    <w:rsid w:val="00763B5D"/>
    <w:rsid w:val="008A73A4"/>
    <w:rsid w:val="008E6061"/>
    <w:rsid w:val="00905269"/>
    <w:rsid w:val="00905CE5"/>
    <w:rsid w:val="00930F3C"/>
    <w:rsid w:val="009839CF"/>
    <w:rsid w:val="009A55AB"/>
    <w:rsid w:val="009C7A00"/>
    <w:rsid w:val="009D32B1"/>
    <w:rsid w:val="009F7B4E"/>
    <w:rsid w:val="00AB7A0D"/>
    <w:rsid w:val="00AC702C"/>
    <w:rsid w:val="00B87C88"/>
    <w:rsid w:val="00BA052B"/>
    <w:rsid w:val="00C3742B"/>
    <w:rsid w:val="00C716B8"/>
    <w:rsid w:val="00CD1476"/>
    <w:rsid w:val="00CD2D4C"/>
    <w:rsid w:val="00CE599E"/>
    <w:rsid w:val="00D83021"/>
    <w:rsid w:val="00DA42F0"/>
    <w:rsid w:val="00E04184"/>
    <w:rsid w:val="00EE1DFB"/>
    <w:rsid w:val="00F20ADE"/>
    <w:rsid w:val="00F96A38"/>
    <w:rsid w:val="00FE38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C716B8"/>
    <w:rPr>
      <w:szCs w:val="22"/>
      <w:lang w:bidi="ar-SA"/>
    </w:rPr>
  </w:style>
  <w:style w:type="paragraph" w:styleId="NoSpacing">
    <w:name w:val="No Spacing"/>
    <w:link w:val="NoSpacingChar"/>
    <w:uiPriority w:val="1"/>
    <w:qFormat/>
    <w:rsid w:val="00C716B8"/>
    <w:pPr>
      <w:spacing w:after="0" w:line="240" w:lineRule="auto"/>
    </w:pPr>
    <w:rPr>
      <w:szCs w:val="22"/>
      <w:lang w:bidi="ar-SA"/>
    </w:rPr>
  </w:style>
  <w:style w:type="paragraph" w:styleId="ListParagraph">
    <w:name w:val="List Paragraph"/>
    <w:basedOn w:val="Normal"/>
    <w:uiPriority w:val="34"/>
    <w:qFormat/>
    <w:rsid w:val="001333E2"/>
    <w:pPr>
      <w:ind w:left="720"/>
      <w:contextualSpacing/>
    </w:pPr>
  </w:style>
</w:styles>
</file>

<file path=word/webSettings.xml><?xml version="1.0" encoding="utf-8"?>
<w:webSettings xmlns:r="http://schemas.openxmlformats.org/officeDocument/2006/relationships" xmlns:w="http://schemas.openxmlformats.org/wordprocessingml/2006/main">
  <w:divs>
    <w:div w:id="220948814">
      <w:bodyDiv w:val="1"/>
      <w:marLeft w:val="0"/>
      <w:marRight w:val="0"/>
      <w:marTop w:val="0"/>
      <w:marBottom w:val="0"/>
      <w:divBdr>
        <w:top w:val="none" w:sz="0" w:space="0" w:color="auto"/>
        <w:left w:val="none" w:sz="0" w:space="0" w:color="auto"/>
        <w:bottom w:val="none" w:sz="0" w:space="0" w:color="auto"/>
        <w:right w:val="none" w:sz="0" w:space="0" w:color="auto"/>
      </w:divBdr>
    </w:div>
    <w:div w:id="6844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2020-02-04T21:52:00Z</cp:lastPrinted>
  <dcterms:created xsi:type="dcterms:W3CDTF">2020-03-02T10:03:00Z</dcterms:created>
  <dcterms:modified xsi:type="dcterms:W3CDTF">2020-03-03T11:27:00Z</dcterms:modified>
</cp:coreProperties>
</file>