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0F4261" w:rsidRDefault="000F4261" w:rsidP="000F4261">
      <w:pPr>
        <w:pStyle w:val="NoSpacing"/>
        <w:tabs>
          <w:tab w:val="left" w:pos="3765"/>
          <w:tab w:val="center" w:pos="4513"/>
        </w:tabs>
        <w:spacing w:line="300" w:lineRule="exac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ab/>
        <w:t>राज्‍य सभा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2521</w:t>
      </w:r>
      <w:r>
        <w:rPr>
          <w:rFonts w:ascii="Mangal" w:hAnsi="Mangal" w:hint="cs"/>
          <w:b/>
          <w:bCs/>
          <w:cs/>
          <w:lang w:val="en-US" w:bidi="hi-IN"/>
        </w:rPr>
        <w:t xml:space="preserve">  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</w:p>
    <w:p w:rsidR="000F4261" w:rsidRDefault="000F4261" w:rsidP="000F4261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 xml:space="preserve">वन क्षेत्रों में रह रहे लोगों के लिए निशुल्क रसोई </w:t>
      </w:r>
    </w:p>
    <w:p w:rsidR="000F4261" w:rsidRDefault="000F4261" w:rsidP="000F4261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>गैस कनेक्शन</w:t>
      </w:r>
    </w:p>
    <w:p w:rsidR="000F4261" w:rsidRDefault="000F4261" w:rsidP="000F4261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0F4261" w:rsidRDefault="000F4261" w:rsidP="000F4261">
      <w:pPr>
        <w:spacing w:after="0" w:line="240" w:lineRule="auto"/>
        <w:jc w:val="both"/>
        <w:rPr>
          <w:rFonts w:hint="cs"/>
          <w:b/>
          <w:bCs/>
          <w:szCs w:val="22"/>
        </w:rPr>
      </w:pPr>
      <w:r>
        <w:rPr>
          <w:b/>
          <w:bCs/>
          <w:szCs w:val="22"/>
          <w:cs/>
        </w:rPr>
        <w:t>2521. मीर मोहम्मद फ़ैयाज::</w:t>
      </w:r>
      <w:r>
        <w:rPr>
          <w:rFonts w:hint="cs"/>
          <w:b/>
          <w:bCs/>
          <w:szCs w:val="22"/>
          <w:cs/>
        </w:rPr>
        <w:t xml:space="preserve"> </w:t>
      </w:r>
    </w:p>
    <w:p w:rsidR="000F4261" w:rsidRDefault="000F4261" w:rsidP="000F4261">
      <w:pPr>
        <w:spacing w:after="0" w:line="240" w:lineRule="auto"/>
        <w:jc w:val="both"/>
        <w:rPr>
          <w:b/>
          <w:bCs/>
          <w:szCs w:val="22"/>
        </w:rPr>
      </w:pPr>
    </w:p>
    <w:p w:rsidR="000F4261" w:rsidRDefault="000F4261" w:rsidP="000F4261">
      <w:pPr>
        <w:spacing w:after="0" w:line="240" w:lineRule="auto"/>
        <w:ind w:firstLine="720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0F4261" w:rsidRDefault="000F4261" w:rsidP="000F4261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0F4261" w:rsidRDefault="000F4261" w:rsidP="000F4261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वनों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समीप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रहने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वाले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लोगों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भर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निशुल्क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रसोई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गैस</w:t>
      </w:r>
      <w:proofErr w:type="spellEnd"/>
      <w:r>
        <w:rPr>
          <w:cs/>
        </w:rPr>
        <w:t xml:space="preserve"> (</w:t>
      </w:r>
      <w:proofErr w:type="spellStart"/>
      <w:r>
        <w:rPr>
          <w:cs/>
        </w:rPr>
        <w:t>एलपीजी</w:t>
      </w:r>
      <w:proofErr w:type="spellEnd"/>
      <w:r>
        <w:rPr>
          <w:cs/>
        </w:rPr>
        <w:t xml:space="preserve">) </w:t>
      </w:r>
      <w:proofErr w:type="spellStart"/>
      <w:r>
        <w:rPr>
          <w:cs/>
        </w:rPr>
        <w:t>कनेक्शन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जारी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प्रस्ताव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0F4261" w:rsidRDefault="000F4261" w:rsidP="000F4261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तत्संबंधी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>?</w:t>
      </w:r>
    </w:p>
    <w:p w:rsidR="000F4261" w:rsidRDefault="000F4261" w:rsidP="000F4261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0F4261" w:rsidRDefault="000F4261" w:rsidP="000F4261">
      <w:pPr>
        <w:jc w:val="both"/>
        <w:rPr>
          <w:rFonts w:hint="cs"/>
          <w:b/>
          <w:bCs/>
          <w:szCs w:val="22"/>
        </w:rPr>
      </w:pPr>
    </w:p>
    <w:p w:rsidR="000F4261" w:rsidRPr="00B4621E" w:rsidRDefault="000F4261" w:rsidP="000F4261">
      <w:pPr>
        <w:pStyle w:val="NoSpacing"/>
        <w:jc w:val="both"/>
        <w:rPr>
          <w:rFonts w:ascii="Mangal" w:hAnsi="Mangal"/>
          <w:color w:val="26282A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br/>
      </w:r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</w:rPr>
        <w:t>(</w:t>
      </w:r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>क)</w:t>
      </w:r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</w:rPr>
        <w:t> </w:t>
      </w:r>
      <w:proofErr w:type="spellStart"/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>और</w:t>
      </w:r>
      <w:proofErr w:type="spellEnd"/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 xml:space="preserve"> </w:t>
      </w:r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  <w:lang w:val="en-US" w:bidi="hi-IN"/>
        </w:rPr>
        <w:t>(</w:t>
      </w:r>
      <w:r w:rsidRPr="00B4621E">
        <w:rPr>
          <w:rFonts w:ascii="Mangal" w:hAnsi="Mangal"/>
          <w:b/>
          <w:bCs/>
          <w:color w:val="26282A"/>
          <w:sz w:val="24"/>
          <w:szCs w:val="24"/>
          <w:shd w:val="clear" w:color="auto" w:fill="FFFFFF"/>
          <w:cs/>
        </w:rPr>
        <w:t>ख):</w:t>
      </w:r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प्रधान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मंत्री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उज्‍ज्वला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योजना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(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पीएमयूवाई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)  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तहत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बीपीएल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परिवार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वयस्क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महिला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सदस्‍य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को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1600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रुपए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तक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प्रति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कनेक्‍शन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नकद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सहायता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बगैर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जमानत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राशि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एलपीजी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कनेक्‍शन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उपलब्‍ध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करवाया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जाता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है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।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योजना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तहत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लाभार्थियों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पहचान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सामाजिक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आर्थिक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जाति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जनगणना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अथवा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वन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निवासियों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सहित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सात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श्रेणियों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जाती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है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।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दिनांक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03.08.2018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स्थिति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अनुसार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योजना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तहत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वन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निवासियों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सहित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5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करोड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़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अधिक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एलपीजी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कनेक्शन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जारी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किए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गए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हैं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।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राज्य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/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संघ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शासित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राज्य-वार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ब्यौरे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अनुलग्नक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में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दिए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गए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हैं</w:t>
      </w:r>
      <w:proofErr w:type="spellEnd"/>
      <w:r w:rsidRPr="00B4621E">
        <w:rPr>
          <w:rFonts w:ascii="Mangal" w:hAnsi="Mangal"/>
          <w:color w:val="26282A"/>
          <w:sz w:val="24"/>
          <w:szCs w:val="24"/>
          <w:shd w:val="clear" w:color="auto" w:fill="FFFFFF"/>
          <w:cs/>
        </w:rPr>
        <w:t>।</w:t>
      </w:r>
    </w:p>
    <w:p w:rsidR="000F4261" w:rsidRDefault="000F4261" w:rsidP="000F4261">
      <w:pPr>
        <w:pStyle w:val="NoSpacing"/>
        <w:spacing w:line="300" w:lineRule="exact"/>
        <w:jc w:val="center"/>
        <w:rPr>
          <w:rFonts w:ascii="Mangal" w:hAnsi="Mangal"/>
          <w:sz w:val="24"/>
          <w:szCs w:val="24"/>
          <w:lang w:val="en-US"/>
        </w:rPr>
      </w:pPr>
      <w:r w:rsidRPr="00B4621E">
        <w:rPr>
          <w:rFonts w:ascii="Mangal" w:hAnsi="Mangal"/>
          <w:sz w:val="24"/>
          <w:szCs w:val="24"/>
          <w:lang w:val="en-US"/>
        </w:rPr>
        <w:t>*****</w:t>
      </w:r>
    </w:p>
    <w:p w:rsidR="000F4261" w:rsidRPr="00B4621E" w:rsidRDefault="000F4261" w:rsidP="000F4261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sz w:val="24"/>
          <w:szCs w:val="24"/>
          <w:lang w:val="en-US"/>
        </w:rPr>
        <w:br w:type="page"/>
      </w:r>
    </w:p>
    <w:tbl>
      <w:tblPr>
        <w:tblW w:w="883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010"/>
        <w:gridCol w:w="4445"/>
      </w:tblGrid>
      <w:tr w:rsidR="000F4261" w:rsidRPr="00CF2BB9" w:rsidTr="00D97534">
        <w:trPr>
          <w:trHeight w:val="375"/>
        </w:trPr>
        <w:tc>
          <w:tcPr>
            <w:tcW w:w="8839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</w:pP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lastRenderedPageBreak/>
              <w:t xml:space="preserve">      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अनुलग्नक</w:t>
            </w:r>
          </w:p>
        </w:tc>
      </w:tr>
      <w:tr w:rsidR="000F4261" w:rsidRPr="00CF2BB9" w:rsidTr="00D97534">
        <w:trPr>
          <w:trHeight w:val="668"/>
        </w:trPr>
        <w:tc>
          <w:tcPr>
            <w:tcW w:w="8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"वन क्षेत्रों में रह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रहे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लोगों के लिए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निशुल्‍क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रसोई गैस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कनेक्शन"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के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संबंध में मीर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मोहम्मद फै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या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ज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द्वारा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दिनांक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 xml:space="preserve">8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अगस्त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 xml:space="preserve">, 2018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को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पूछे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जाने वाला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राज्य सभा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अतारांकि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त प्रश्‍न संख्‍या 2521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के भाग (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) और (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ख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 xml:space="preserve">) के </w:t>
            </w: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उत्‍तर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में उल्‍लिखित अनुलग्‍नक </w:t>
            </w:r>
          </w:p>
        </w:tc>
      </w:tr>
      <w:tr w:rsidR="000F4261" w:rsidRPr="00CF2BB9" w:rsidTr="00D97534">
        <w:trPr>
          <w:trHeight w:val="315"/>
        </w:trPr>
        <w:tc>
          <w:tcPr>
            <w:tcW w:w="8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 xml:space="preserve">03.08.2018 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को पीएमयूवाई के तहत जारी कनेक्शनों के राज्य / यूटी-वार विवरण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</w:p>
        </w:tc>
        <w:tc>
          <w:tcPr>
            <w:tcW w:w="44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</w:p>
        </w:tc>
      </w:tr>
      <w:tr w:rsidR="000F4261" w:rsidRPr="00CF2BB9" w:rsidTr="00D97534">
        <w:trPr>
          <w:trHeight w:val="18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क्रम</w:t>
            </w:r>
            <w:r>
              <w:rPr>
                <w:rFonts w:ascii="Mangal" w:eastAsia="Times New Roman" w:hAnsi="Mangal" w:hint="cs"/>
                <w:b/>
                <w:bCs/>
                <w:sz w:val="20"/>
                <w:cs/>
                <w:lang w:val="en-IN" w:eastAsia="en-IN"/>
              </w:rPr>
              <w:t xml:space="preserve"> सं. </w:t>
            </w:r>
          </w:p>
        </w:tc>
        <w:tc>
          <w:tcPr>
            <w:tcW w:w="3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राज्य/</w:t>
            </w: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केन्द्र शासित प्रदेश</w:t>
            </w:r>
          </w:p>
        </w:tc>
        <w:tc>
          <w:tcPr>
            <w:tcW w:w="4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जारी कनेक्शन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अंडमान व नोकोबार द्वीप समूह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5,616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आंध्र प्रदेश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1,52,818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अरुणाचल प्रदेश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27,338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4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असम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19,32,975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5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बिहार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60,92,414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6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चंडीगढ़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35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7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छत्तीसगढ़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24,66,709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8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दादरा और नगर हवेली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13,033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9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दमन और दीव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390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10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दिल्ली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47,946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1 1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गोवा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1,032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12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गुजरात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16,52,814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13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हर</w:t>
            </w:r>
            <w:r>
              <w:rPr>
                <w:rFonts w:ascii="Mangal" w:eastAsia="Times New Roman" w:hAnsi="Mangal"/>
                <w:sz w:val="20"/>
                <w:cs/>
                <w:lang w:val="en-IN" w:eastAsia="en-IN"/>
              </w:rPr>
              <w:t>ि</w:t>
            </w: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याणा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4,88,382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14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हिमाचल प्रदेश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68,567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15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जम्मू-कश्मीर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6,08,824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16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झारखंड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19,35,312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17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कर्नाटक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14,84,124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18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केरल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1,17,794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19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लक्षद्वीप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274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20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मध्य प्रदेश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45,43,964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21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महाराष्ट्र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26,44,538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22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मणिपुर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73,183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23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मेघालय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1,00,034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24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मिजोरम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20,948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25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नगालैंड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32,173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26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ओडिशा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30,95,817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27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पुडुचेरी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10,743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28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पंजाब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8,56,814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29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राजस्थान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37,44,720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30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सिक्किम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3,304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31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तमिलनाडु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22,06,379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32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तेलंगाना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3,99,459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33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त्रिपुरा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1,59,992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34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उत्तर प्रदेश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87,80,275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35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उत्तराखंड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2,15,768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36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cs/>
                <w:lang w:val="en-IN" w:eastAsia="en-IN"/>
              </w:rPr>
              <w:t>पश्चिम बंगाल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61,44,386</w:t>
            </w:r>
          </w:p>
        </w:tc>
      </w:tr>
      <w:tr w:rsidR="000F4261" w:rsidRPr="00CF2BB9" w:rsidTr="00D97534">
        <w:trPr>
          <w:trHeight w:val="300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center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sz w:val="20"/>
                <w:lang w:val="en-IN" w:eastAsia="en-IN"/>
              </w:rPr>
              <w:t> </w:t>
            </w: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cs/>
                <w:lang w:val="en-IN" w:eastAsia="en-IN"/>
              </w:rPr>
              <w:t>कुल</w:t>
            </w:r>
          </w:p>
        </w:tc>
        <w:tc>
          <w:tcPr>
            <w:tcW w:w="4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261" w:rsidRPr="00CF2BB9" w:rsidRDefault="000F4261" w:rsidP="00D97534">
            <w:pPr>
              <w:spacing w:after="0" w:line="280" w:lineRule="exact"/>
              <w:jc w:val="right"/>
              <w:rPr>
                <w:rFonts w:ascii="Mangal" w:eastAsia="Times New Roman" w:hAnsi="Mangal"/>
                <w:sz w:val="20"/>
                <w:lang w:val="en-IN" w:eastAsia="en-IN"/>
              </w:rPr>
            </w:pPr>
            <w:r w:rsidRPr="00CF2BB9">
              <w:rPr>
                <w:rFonts w:ascii="Mangal" w:eastAsia="Times New Roman" w:hAnsi="Mangal"/>
                <w:b/>
                <w:bCs/>
                <w:sz w:val="20"/>
                <w:lang w:val="en-IN" w:eastAsia="en-IN"/>
              </w:rPr>
              <w:t>5,01,28,894</w:t>
            </w:r>
          </w:p>
        </w:tc>
      </w:tr>
    </w:tbl>
    <w:p w:rsidR="00CE7248" w:rsidRDefault="00CE7248" w:rsidP="000F4261">
      <w:bookmarkStart w:id="0" w:name="_GoBack"/>
      <w:bookmarkEnd w:id="0"/>
    </w:p>
    <w:sectPr w:rsidR="00CE7248" w:rsidSect="000F42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61"/>
    <w:rsid w:val="000F4261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1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F4261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0F4261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1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F4261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0F4261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2018-08-08T07:15:00Z</dcterms:created>
  <dcterms:modified xsi:type="dcterms:W3CDTF">2018-08-08T07:15:00Z</dcterms:modified>
</cp:coreProperties>
</file>