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F7" w:rsidRPr="00445644" w:rsidRDefault="00DB0BF7" w:rsidP="00DB0BF7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DB0BF7" w:rsidRPr="00445644" w:rsidRDefault="00DB0BF7" w:rsidP="00DB0BF7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DB0BF7" w:rsidRPr="00445644" w:rsidRDefault="00DB0BF7" w:rsidP="00DB0BF7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कार्य</w:t>
      </w:r>
      <w:r w:rsidRPr="00445644">
        <w:rPr>
          <w:sz w:val="24"/>
          <w:szCs w:val="24"/>
        </w:rPr>
        <w:t xml:space="preserve">   </w:t>
      </w:r>
      <w:r w:rsidRPr="00445644">
        <w:rPr>
          <w:rFonts w:hint="cs"/>
          <w:sz w:val="24"/>
          <w:szCs w:val="24"/>
          <w:cs/>
        </w:rPr>
        <w:t>विभाग</w:t>
      </w:r>
    </w:p>
    <w:p w:rsidR="00DB0BF7" w:rsidRPr="00445644" w:rsidRDefault="00DB0BF7" w:rsidP="00DB0BF7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DB0BF7" w:rsidRPr="00445644" w:rsidRDefault="00DB0BF7" w:rsidP="00DB0BF7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 w:rsidRPr="00445644">
        <w:rPr>
          <w:rFonts w:hint="cs"/>
          <w:sz w:val="24"/>
          <w:szCs w:val="24"/>
          <w:cs/>
        </w:rPr>
        <w:t>तारांकित प्रश्न सं.*112</w:t>
      </w:r>
    </w:p>
    <w:p w:rsidR="00DB0BF7" w:rsidRPr="00445644" w:rsidRDefault="00DB0BF7" w:rsidP="00DB0BF7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DB0BF7" w:rsidRPr="00445644" w:rsidRDefault="00DB0BF7" w:rsidP="00DB0BF7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</w:p>
    <w:p w:rsidR="00DB0BF7" w:rsidRPr="0012201B" w:rsidRDefault="00DB0BF7" w:rsidP="00DB0BF7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खेलों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सट्टेबाजी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विनियमन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संबंध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आयोग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रिपोर्ट</w:t>
      </w:r>
    </w:p>
    <w:p w:rsidR="00DB0BF7" w:rsidRPr="0012201B" w:rsidRDefault="00DB0BF7" w:rsidP="00DB0BF7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*112.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श्रीमती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विजिला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सत्यानंतः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DB0BF7" w:rsidRPr="0012201B" w:rsidRDefault="00DB0BF7" w:rsidP="00DB0BF7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कि :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B0BF7" w:rsidRPr="0012201B" w:rsidRDefault="00DB0BF7" w:rsidP="00DB0BF7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विधि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आयोग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रिपोर्ट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प्रस्तुत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जिसमें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चूंकि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अवैध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सट्टेबाजी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रोका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जाना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असंभव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अतः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मात्र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व्यवहार्य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विकल्प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खेलों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सट्टेबाजी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विनियमित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जाना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रह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r w:rsidRPr="0012201B">
        <w:rPr>
          <w:rFonts w:ascii="Arial Unicode MS" w:eastAsia="Arial Unicode MS" w:hAnsi="Arial Unicode MS" w:cs="Arial Unicode MS" w:hint="cs"/>
          <w:sz w:val="24"/>
          <w:szCs w:val="24"/>
          <w:cs/>
        </w:rPr>
        <w:t>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</w:p>
    <w:p w:rsidR="00DB0BF7" w:rsidRPr="0012201B" w:rsidRDefault="00DB0BF7" w:rsidP="00DB0BF7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DB0BF7" w:rsidRPr="0012201B" w:rsidRDefault="00DB0BF7" w:rsidP="00DB0BF7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पैनल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इच्छा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व्यक्त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प्रत्येक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व्यक्ति</w:t>
      </w:r>
      <w:r w:rsidRPr="001220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Pr="0012201B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सट्टेबाजी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संव्यवहार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अधिकतम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निर्धारित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करे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B0BF7" w:rsidRPr="0012201B" w:rsidRDefault="00DB0BF7" w:rsidP="00DB0BF7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201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201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12201B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DB0BF7" w:rsidRPr="00445644" w:rsidRDefault="00DB0BF7" w:rsidP="00DB0BF7">
      <w:pPr>
        <w:jc w:val="center"/>
        <w:rPr>
          <w:rFonts w:hint="cs"/>
          <w:b/>
          <w:bCs/>
          <w:sz w:val="24"/>
          <w:szCs w:val="24"/>
        </w:rPr>
      </w:pPr>
    </w:p>
    <w:p w:rsidR="00DB0BF7" w:rsidRPr="00445644" w:rsidRDefault="00DB0BF7" w:rsidP="00DB0BF7">
      <w:pPr>
        <w:jc w:val="center"/>
        <w:rPr>
          <w:b/>
          <w:bCs/>
          <w:sz w:val="24"/>
          <w:szCs w:val="24"/>
        </w:rPr>
      </w:pPr>
      <w:r w:rsidRPr="00445644">
        <w:rPr>
          <w:rFonts w:hint="cs"/>
          <w:b/>
          <w:bCs/>
          <w:sz w:val="24"/>
          <w:szCs w:val="24"/>
          <w:cs/>
        </w:rPr>
        <w:t>उत्तर</w:t>
      </w:r>
    </w:p>
    <w:p w:rsidR="00DB0BF7" w:rsidRDefault="00DB0BF7" w:rsidP="00DB0BF7">
      <w:pPr>
        <w:spacing w:after="120"/>
        <w:ind w:left="36"/>
        <w:jc w:val="both"/>
        <w:rPr>
          <w:b/>
          <w:bCs/>
          <w:sz w:val="24"/>
          <w:szCs w:val="24"/>
        </w:rPr>
      </w:pPr>
      <w:r w:rsidRPr="00445644">
        <w:rPr>
          <w:rFonts w:hint="cs"/>
          <w:b/>
          <w:bCs/>
          <w:sz w:val="24"/>
          <w:szCs w:val="24"/>
          <w:cs/>
        </w:rPr>
        <w:t>विधि और न्‍याय तथा इ</w:t>
      </w:r>
      <w:r w:rsidRPr="00445644">
        <w:rPr>
          <w:rFonts w:hint="cs"/>
          <w:b/>
          <w:bCs/>
          <w:sz w:val="24"/>
          <w:szCs w:val="24"/>
          <w:cs/>
          <w:lang w:val="en-IN"/>
        </w:rPr>
        <w:t>लेक्ट्रॉनिकी</w:t>
      </w:r>
      <w:r w:rsidRPr="00445644">
        <w:rPr>
          <w:rFonts w:hint="cs"/>
          <w:b/>
          <w:bCs/>
          <w:sz w:val="24"/>
          <w:szCs w:val="24"/>
          <w:cs/>
        </w:rPr>
        <w:t xml:space="preserve"> और सूचना प्रौद्योगिकी मंत्री (श्री रविशंकर प्रसाद)</w:t>
      </w:r>
    </w:p>
    <w:p w:rsidR="00DB0BF7" w:rsidRPr="00C72492" w:rsidRDefault="00DB0BF7" w:rsidP="00DB0BF7">
      <w:pPr>
        <w:spacing w:after="120"/>
        <w:ind w:left="36"/>
        <w:jc w:val="both"/>
        <w:rPr>
          <w:rFonts w:hint="cs"/>
          <w:sz w:val="24"/>
          <w:szCs w:val="24"/>
          <w:cs/>
        </w:rPr>
      </w:pPr>
      <w:r>
        <w:rPr>
          <w:b/>
          <w:bCs/>
          <w:sz w:val="24"/>
          <w:szCs w:val="24"/>
        </w:rPr>
        <w:t>(</w:t>
      </w:r>
      <w:r>
        <w:rPr>
          <w:rFonts w:hint="cs"/>
          <w:b/>
          <w:bCs/>
          <w:sz w:val="24"/>
          <w:szCs w:val="24"/>
          <w:cs/>
        </w:rPr>
        <w:t>क) से (घ</w:t>
      </w:r>
      <w:proofErr w:type="gramStart"/>
      <w:r>
        <w:rPr>
          <w:rFonts w:hint="cs"/>
          <w:b/>
          <w:bCs/>
          <w:sz w:val="24"/>
          <w:szCs w:val="24"/>
          <w:cs/>
        </w:rPr>
        <w:t xml:space="preserve">)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C72492">
        <w:rPr>
          <w:rFonts w:hint="cs"/>
          <w:sz w:val="24"/>
          <w:szCs w:val="24"/>
          <w:cs/>
        </w:rPr>
        <w:t>एक विवरण सदन के पटल पर रख दिया है</w:t>
      </w:r>
      <w:r>
        <w:rPr>
          <w:rFonts w:hint="cs"/>
          <w:sz w:val="24"/>
          <w:szCs w:val="24"/>
          <w:cs/>
        </w:rPr>
        <w:t xml:space="preserve">। </w:t>
      </w:r>
    </w:p>
    <w:p w:rsidR="00DB0BF7" w:rsidRDefault="00DB0BF7" w:rsidP="00DB0BF7">
      <w:pPr>
        <w:spacing w:after="120"/>
        <w:ind w:left="36"/>
        <w:jc w:val="both"/>
        <w:rPr>
          <w:b/>
          <w:bCs/>
          <w:sz w:val="24"/>
          <w:szCs w:val="24"/>
        </w:rPr>
      </w:pPr>
    </w:p>
    <w:p w:rsidR="00DB0BF7" w:rsidRDefault="00DB0BF7" w:rsidP="00DB0BF7">
      <w:pPr>
        <w:spacing w:after="120"/>
        <w:ind w:left="36"/>
        <w:jc w:val="both"/>
        <w:rPr>
          <w:b/>
          <w:bCs/>
          <w:sz w:val="24"/>
          <w:szCs w:val="24"/>
        </w:rPr>
      </w:pPr>
    </w:p>
    <w:p w:rsidR="00DB0BF7" w:rsidRDefault="00DB0BF7" w:rsidP="00DB0BF7">
      <w:pPr>
        <w:spacing w:after="120"/>
        <w:ind w:left="36"/>
        <w:jc w:val="both"/>
        <w:rPr>
          <w:b/>
          <w:bCs/>
          <w:sz w:val="24"/>
          <w:szCs w:val="24"/>
        </w:rPr>
      </w:pPr>
    </w:p>
    <w:p w:rsidR="00DB0BF7" w:rsidRDefault="00DB0BF7" w:rsidP="00DB0BF7">
      <w:pPr>
        <w:spacing w:after="120"/>
        <w:ind w:left="36"/>
        <w:jc w:val="both"/>
        <w:rPr>
          <w:b/>
          <w:bCs/>
          <w:sz w:val="24"/>
          <w:szCs w:val="24"/>
        </w:rPr>
      </w:pPr>
    </w:p>
    <w:p w:rsidR="00DB0BF7" w:rsidRPr="00AC503F" w:rsidRDefault="00DB0BF7" w:rsidP="00DB0BF7">
      <w:pPr>
        <w:jc w:val="both"/>
        <w:rPr>
          <w:rFonts w:ascii="Mangal" w:hAnsi="Mangal" w:hint="cs"/>
          <w:b/>
          <w:bCs/>
          <w:sz w:val="24"/>
          <w:szCs w:val="24"/>
          <w:u w:val="single"/>
        </w:rPr>
      </w:pPr>
      <w:r w:rsidRPr="00AC503F">
        <w:rPr>
          <w:rFonts w:hint="cs"/>
          <w:b/>
          <w:bCs/>
          <w:sz w:val="24"/>
          <w:szCs w:val="24"/>
          <w:u w:val="single"/>
          <w:cs/>
        </w:rPr>
        <w:t xml:space="preserve">राज्य सभा तारांकित प्रश्न सं. </w:t>
      </w:r>
      <w:r w:rsidRPr="00AC503F">
        <w:rPr>
          <w:b/>
          <w:bCs/>
          <w:sz w:val="24"/>
          <w:szCs w:val="24"/>
          <w:u w:val="single"/>
          <w:lang w:val="en-IN"/>
        </w:rPr>
        <w:t>*</w:t>
      </w:r>
      <w:r w:rsidRPr="00AC503F">
        <w:rPr>
          <w:rFonts w:hint="cs"/>
          <w:b/>
          <w:bCs/>
          <w:sz w:val="24"/>
          <w:szCs w:val="24"/>
          <w:u w:val="single"/>
          <w:cs/>
        </w:rPr>
        <w:t>112</w:t>
      </w:r>
      <w:r w:rsidRPr="00AC503F">
        <w:rPr>
          <w:rFonts w:hint="cs"/>
          <w:b/>
          <w:bCs/>
          <w:sz w:val="24"/>
          <w:szCs w:val="24"/>
          <w:u w:val="single"/>
        </w:rPr>
        <w:t xml:space="preserve">,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</w:rPr>
        <w:t>जिसका उत्तर तारीख 27 जुलाई</w:t>
      </w:r>
      <w:r w:rsidRPr="00AC503F">
        <w:rPr>
          <w:rFonts w:ascii="Mangal" w:hAnsi="Mangal" w:hint="cs"/>
          <w:b/>
          <w:bCs/>
          <w:sz w:val="24"/>
          <w:szCs w:val="24"/>
          <w:u w:val="single"/>
        </w:rPr>
        <w:t xml:space="preserve">, 2018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</w:rPr>
        <w:t>को दिया जाना है</w:t>
      </w:r>
      <w:r w:rsidRPr="00AC503F">
        <w:rPr>
          <w:rFonts w:ascii="Mangal" w:hAnsi="Mangal" w:hint="cs"/>
          <w:b/>
          <w:bCs/>
          <w:sz w:val="24"/>
          <w:szCs w:val="24"/>
          <w:u w:val="single"/>
        </w:rPr>
        <w:t xml:space="preserve">,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</w:rPr>
        <w:t xml:space="preserve">के संबंध में निर्दिष्ट विवरण </w:t>
      </w:r>
    </w:p>
    <w:p w:rsidR="00DB0BF7" w:rsidRPr="00AC503F" w:rsidRDefault="00DB0BF7" w:rsidP="00DB0BF7">
      <w:pPr>
        <w:jc w:val="both"/>
        <w:rPr>
          <w:rFonts w:ascii="Mangal" w:hAnsi="Mangal"/>
          <w:b/>
          <w:bCs/>
          <w:sz w:val="24"/>
          <w:szCs w:val="24"/>
          <w:lang w:val="en-IN"/>
        </w:rPr>
      </w:pPr>
      <w:r w:rsidRPr="00AC503F">
        <w:rPr>
          <w:rFonts w:ascii="Mangal" w:hAnsi="Mangal" w:hint="cs"/>
          <w:b/>
          <w:bCs/>
          <w:sz w:val="24"/>
          <w:szCs w:val="24"/>
          <w:cs/>
        </w:rPr>
        <w:lastRenderedPageBreak/>
        <w:t xml:space="preserve">(क) </w:t>
      </w:r>
      <w:r>
        <w:rPr>
          <w:rFonts w:ascii="Mangal" w:hAnsi="Mangal" w:hint="cs"/>
          <w:b/>
          <w:bCs/>
          <w:sz w:val="24"/>
          <w:szCs w:val="24"/>
          <w:cs/>
        </w:rPr>
        <w:t>और</w:t>
      </w:r>
      <w:r w:rsidRPr="00AC503F">
        <w:rPr>
          <w:rFonts w:ascii="Mangal" w:hAnsi="Mangal" w:hint="cs"/>
          <w:b/>
          <w:bCs/>
          <w:sz w:val="24"/>
          <w:szCs w:val="24"/>
          <w:cs/>
        </w:rPr>
        <w:t xml:space="preserve"> (ख) :</w:t>
      </w:r>
      <w:r w:rsidRPr="00AC503F">
        <w:rPr>
          <w:rFonts w:ascii="Mangal" w:hAnsi="Mangal" w:hint="cs"/>
          <w:sz w:val="24"/>
          <w:szCs w:val="24"/>
          <w:cs/>
        </w:rPr>
        <w:t xml:space="preserve"> भारतीय विधि</w:t>
      </w:r>
      <w:r>
        <w:rPr>
          <w:rFonts w:ascii="Mangal" w:hAnsi="Mangal"/>
          <w:sz w:val="24"/>
          <w:szCs w:val="24"/>
        </w:rPr>
        <w:t xml:space="preserve"> </w:t>
      </w:r>
      <w:r w:rsidRPr="00AC503F">
        <w:rPr>
          <w:rFonts w:ascii="Mangal" w:hAnsi="Mangal" w:hint="cs"/>
          <w:sz w:val="24"/>
          <w:szCs w:val="24"/>
          <w:cs/>
        </w:rPr>
        <w:t xml:space="preserve">आयोग ने </w:t>
      </w:r>
      <w:r w:rsidRPr="00847D86">
        <w:rPr>
          <w:rFonts w:ascii="Mangal" w:hAnsi="Mangal"/>
          <w:b/>
          <w:bCs/>
          <w:sz w:val="24"/>
          <w:szCs w:val="24"/>
          <w:lang w:val="en-IN"/>
        </w:rPr>
        <w:t>“</w:t>
      </w:r>
      <w:r w:rsidRPr="00847D86">
        <w:rPr>
          <w:rFonts w:ascii="Mangal" w:hAnsi="Mangal" w:hint="cs"/>
          <w:b/>
          <w:bCs/>
          <w:sz w:val="24"/>
          <w:szCs w:val="24"/>
          <w:cs/>
        </w:rPr>
        <w:t>विधि</w:t>
      </w:r>
      <w:r w:rsidRPr="00847D86">
        <w:rPr>
          <w:rFonts w:ascii="Times New Roman" w:hAnsi="Times New Roman" w:hint="cs"/>
          <w:b/>
          <w:bCs/>
          <w:sz w:val="24"/>
          <w:szCs w:val="24"/>
          <w:cs/>
        </w:rPr>
        <w:t>क</w:t>
      </w:r>
      <w:r w:rsidRPr="00847D86">
        <w:rPr>
          <w:rFonts w:ascii="Mangal" w:hAnsi="Mangal" w:hint="cs"/>
          <w:b/>
          <w:bCs/>
          <w:sz w:val="24"/>
          <w:szCs w:val="24"/>
          <w:cs/>
        </w:rPr>
        <w:t xml:space="preserve"> ढांचा : भारत में द्यूत और क्रिकेट सहित खेल में सट्टेबाजी</w:t>
      </w:r>
      <w:r w:rsidRPr="00847D86">
        <w:rPr>
          <w:rFonts w:ascii="Mangal" w:hAnsi="Mangal"/>
          <w:b/>
          <w:bCs/>
          <w:sz w:val="24"/>
          <w:szCs w:val="24"/>
          <w:lang w:val="en-IN"/>
        </w:rPr>
        <w:t>”</w:t>
      </w:r>
      <w:r w:rsidRPr="00AC503F">
        <w:rPr>
          <w:rFonts w:ascii="Mangal" w:hAnsi="Mangal" w:hint="cs"/>
          <w:sz w:val="24"/>
          <w:szCs w:val="24"/>
          <w:lang w:val="en-IN"/>
        </w:rPr>
        <w:t xml:space="preserve">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नामक</w:t>
      </w:r>
      <w:r>
        <w:rPr>
          <w:rFonts w:ascii="Mangal" w:hAnsi="Mangal" w:hint="cs"/>
          <w:sz w:val="24"/>
          <w:szCs w:val="24"/>
          <w:cs/>
          <w:lang w:val="en-IN"/>
        </w:rPr>
        <w:t xml:space="preserve"> अपनी 276वीं रिपोर्ट सरकार को 05.07.</w:t>
      </w:r>
      <w:r w:rsidRPr="00AC503F">
        <w:rPr>
          <w:rFonts w:ascii="Mangal" w:hAnsi="Mangal" w:hint="cs"/>
          <w:sz w:val="24"/>
          <w:szCs w:val="24"/>
          <w:lang w:val="en-IN"/>
        </w:rPr>
        <w:t xml:space="preserve">2018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को प्रस्तुत की । 276वीं रिपोर्ट और स्पष्टीकरण के लिए प्रैस नोट को भारतीय विधि आयोग की शासकीय वेबसाइट पर अपलोड किया गया</w:t>
      </w:r>
      <w:r w:rsidRPr="00AC503F">
        <w:rPr>
          <w:rFonts w:ascii="Mangal" w:hAnsi="Mangal" w:hint="cs"/>
          <w:sz w:val="24"/>
          <w:szCs w:val="24"/>
          <w:lang w:val="en-IN"/>
        </w:rPr>
        <w:t xml:space="preserve">, 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आयोग ने रिपोर्ट के पृष्ठ 115 पर पैरा 9.7 के माध्यम से स्पष्ट किया है कि विधि विरुद्ध कार्यकलापों को निवारित करने के लिए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दृढता से और स्पष्ट रूप से सिफारिश की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गई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है कि भारत में वर्तमान स्थिति में सट्टेबाजी और द्यूत वांछनीय नहीं है तथा विधि विरुद्ध सट्टेबाजी और द्यूत पर संपूर्ण रोक को अवश्य ही सुनिश्चित किया जाना चाहिए ।</w:t>
      </w:r>
      <w:r w:rsidRPr="00AC503F">
        <w:rPr>
          <w:rFonts w:ascii="Mangal" w:hAnsi="Mangal" w:hint="cs"/>
          <w:sz w:val="24"/>
          <w:szCs w:val="24"/>
          <w:u w:val="single"/>
          <w:cs/>
          <w:lang w:val="en-IN"/>
        </w:rPr>
        <w:t xml:space="preserve"> फिर से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पैरा 9.8 के माध्यम से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,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यह सिफारिश की गई है कि द्यूत पर नियंत्रण करने के लिए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,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यदि संपूर्ण रोक को प्रवृत्त करना संभव नहीं है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,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तो प्रभावी विनियम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न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ही एकमात्र साध्य विकल्प है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, </w:t>
      </w:r>
      <w:r w:rsidRPr="00C5480E">
        <w:rPr>
          <w:rFonts w:ascii="Mangal" w:hAnsi="Mangal" w:hint="cs"/>
          <w:sz w:val="24"/>
          <w:szCs w:val="24"/>
          <w:cs/>
          <w:lang w:val="en-IN"/>
        </w:rPr>
        <w:t>जि</w:t>
      </w:r>
      <w:r>
        <w:rPr>
          <w:rFonts w:ascii="Mangal" w:hAnsi="Mangal" w:hint="cs"/>
          <w:sz w:val="24"/>
          <w:szCs w:val="24"/>
          <w:cs/>
          <w:lang w:val="en-IN"/>
        </w:rPr>
        <w:t>ससे कि विधि विरुद्ध क्रियाकलापों को निवारित किया जा सके</w:t>
      </w:r>
      <w:r w:rsidRPr="00AC503F">
        <w:rPr>
          <w:rFonts w:ascii="Mangal" w:hAnsi="Mangal" w:hint="cs"/>
          <w:b/>
          <w:bCs/>
          <w:sz w:val="24"/>
          <w:szCs w:val="24"/>
          <w:lang w:val="en-IN"/>
        </w:rPr>
        <w:t xml:space="preserve">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और संसद् या राज्य विधान मंडल</w:t>
      </w:r>
      <w:r>
        <w:rPr>
          <w:rFonts w:ascii="Mangal" w:hAnsi="Mangal" w:hint="cs"/>
          <w:sz w:val="24"/>
          <w:szCs w:val="24"/>
          <w:cs/>
          <w:lang w:val="en-IN"/>
        </w:rPr>
        <w:t>ों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द्वारा इन गतिविधियों को विनियमित करने का विनिश्चय करने की दशा में</w:t>
      </w:r>
      <w:r w:rsidRPr="00AC503F">
        <w:rPr>
          <w:rFonts w:ascii="Mangal" w:hAnsi="Mangal" w:hint="cs"/>
          <w:sz w:val="24"/>
          <w:szCs w:val="24"/>
          <w:lang w:val="en-IN"/>
        </w:rPr>
        <w:t>,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आयोग ने अनेक मार्गदर्शक सिद्धांतों और सुरक्षापायों की सिफारिश की है </w:t>
      </w:r>
      <w:r w:rsidRPr="00AC503F">
        <w:rPr>
          <w:rFonts w:ascii="Mangal" w:hAnsi="Mangal" w:hint="cs"/>
          <w:b/>
          <w:bCs/>
          <w:sz w:val="24"/>
          <w:szCs w:val="24"/>
          <w:cs/>
          <w:lang w:val="en-IN"/>
        </w:rPr>
        <w:t xml:space="preserve">। </w:t>
      </w:r>
    </w:p>
    <w:p w:rsidR="00DB0BF7" w:rsidRPr="00AC503F" w:rsidRDefault="00DB0BF7" w:rsidP="00DB0BF7">
      <w:pPr>
        <w:jc w:val="both"/>
        <w:rPr>
          <w:rFonts w:hint="cs"/>
          <w:sz w:val="24"/>
          <w:szCs w:val="24"/>
          <w:lang w:val="en-IN"/>
        </w:rPr>
      </w:pPr>
      <w:r w:rsidRPr="00AC503F">
        <w:rPr>
          <w:rFonts w:hint="cs"/>
          <w:b/>
          <w:bCs/>
          <w:sz w:val="24"/>
          <w:szCs w:val="24"/>
          <w:cs/>
          <w:lang w:val="en-IN"/>
        </w:rPr>
        <w:t xml:space="preserve">(ग) और (घ) : </w:t>
      </w:r>
      <w:r>
        <w:rPr>
          <w:rFonts w:hint="cs"/>
          <w:sz w:val="24"/>
          <w:szCs w:val="24"/>
          <w:cs/>
          <w:lang w:val="en-IN"/>
        </w:rPr>
        <w:t>भारतीय विधि आयोग ने अध्याय 9 की</w:t>
      </w:r>
      <w:r w:rsidRPr="00AC503F">
        <w:rPr>
          <w:rFonts w:hint="cs"/>
          <w:sz w:val="24"/>
          <w:szCs w:val="24"/>
          <w:cs/>
          <w:lang w:val="en-IN"/>
        </w:rPr>
        <w:t xml:space="preserve"> पृष्ठ सं. 1</w:t>
      </w:r>
      <w:r>
        <w:rPr>
          <w:rFonts w:hint="cs"/>
          <w:sz w:val="24"/>
          <w:szCs w:val="24"/>
          <w:cs/>
          <w:lang w:val="en-IN"/>
        </w:rPr>
        <w:t>16 पर पैरा 5 में सिफारिश की है/</w:t>
      </w:r>
      <w:r w:rsidRPr="00AC503F">
        <w:rPr>
          <w:rFonts w:hint="cs"/>
          <w:sz w:val="24"/>
          <w:szCs w:val="24"/>
          <w:cs/>
          <w:lang w:val="en-IN"/>
        </w:rPr>
        <w:t>सुझाव दिया है कि द्यूत और सट्टेबाजी</w:t>
      </w:r>
      <w:r w:rsidRPr="00AC503F">
        <w:rPr>
          <w:rFonts w:hint="cs"/>
          <w:sz w:val="24"/>
          <w:szCs w:val="24"/>
          <w:lang w:val="en-IN"/>
        </w:rPr>
        <w:t xml:space="preserve">,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यदि कोई हो</w:t>
      </w:r>
      <w:r w:rsidRPr="00AC503F">
        <w:rPr>
          <w:rFonts w:ascii="Mangal" w:hAnsi="Mangal" w:hint="cs"/>
          <w:sz w:val="24"/>
          <w:szCs w:val="24"/>
          <w:lang w:val="en-IN"/>
        </w:rPr>
        <w:t xml:space="preserve">, </w:t>
      </w:r>
      <w:r>
        <w:rPr>
          <w:rFonts w:ascii="Mangal" w:hAnsi="Mangal" w:hint="cs"/>
          <w:sz w:val="24"/>
          <w:szCs w:val="24"/>
          <w:cs/>
          <w:lang w:val="en-IN"/>
        </w:rPr>
        <w:t>का क्रीड़ा अनुज्ञप्ति प्राधिकारी द्वारा अनुदत्त वैध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अनुज्ञप्ति रखने वाले भारत </w:t>
      </w:r>
      <w:r>
        <w:rPr>
          <w:rFonts w:ascii="Mangal" w:hAnsi="Mangal" w:hint="cs"/>
          <w:sz w:val="24"/>
          <w:szCs w:val="24"/>
          <w:cs/>
          <w:lang w:val="en-IN"/>
        </w:rPr>
        <w:t>के</w:t>
      </w:r>
      <w:r w:rsidRPr="00AC503F">
        <w:rPr>
          <w:rFonts w:ascii="Mangal" w:hAnsi="Mangal" w:hint="cs"/>
          <w:sz w:val="24"/>
          <w:szCs w:val="24"/>
          <w:lang w:val="en-IN"/>
        </w:rPr>
        <w:t>,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भारतीय अनुज्ञप्ति प्रचालकों द्वारा ही प्रस्ताव किया जाना चाहिए । भागीदारों के लिए</w:t>
      </w:r>
      <w:r>
        <w:rPr>
          <w:rFonts w:ascii="Mangal" w:hAnsi="Mangal" w:hint="cs"/>
          <w:sz w:val="24"/>
          <w:szCs w:val="24"/>
          <w:cs/>
          <w:lang w:val="en-IN"/>
        </w:rPr>
        <w:t>,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किसी विनिर्दिष्ट अवधि अर्थात् मासिक</w:t>
      </w:r>
      <w:r w:rsidRPr="00AC503F">
        <w:rPr>
          <w:rFonts w:ascii="Mangal" w:hAnsi="Mangal" w:hint="cs"/>
          <w:b/>
          <w:bCs/>
          <w:sz w:val="24"/>
          <w:szCs w:val="24"/>
          <w:u w:val="single"/>
          <w:lang w:val="en-IN"/>
        </w:rPr>
        <w:t xml:space="preserve">, 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अर्ध-वार्षिक या वार्षिक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,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में इन क्रियाकलापों में 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लिप्त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किसी व्यष्टिक द्वारा किए जाने वाले संव्यवहारों की संख्या </w:t>
      </w:r>
      <w:r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>पर</w:t>
      </w:r>
      <w:r w:rsidRPr="00AC503F">
        <w:rPr>
          <w:rFonts w:ascii="Mangal" w:hAnsi="Mangal" w:hint="cs"/>
          <w:b/>
          <w:bCs/>
          <w:sz w:val="24"/>
          <w:szCs w:val="24"/>
          <w:u w:val="single"/>
          <w:cs/>
          <w:lang w:val="en-IN"/>
        </w:rPr>
        <w:t xml:space="preserve"> अनिवार्य रूप से सीमा होनी चाहिए ।</w:t>
      </w:r>
      <w:r w:rsidRPr="00AC503F">
        <w:rPr>
          <w:rFonts w:ascii="Mangal" w:hAnsi="Mangal" w:hint="cs"/>
          <w:b/>
          <w:bCs/>
          <w:sz w:val="24"/>
          <w:szCs w:val="24"/>
          <w:cs/>
          <w:lang w:val="en-IN"/>
        </w:rPr>
        <w:t xml:space="preserve">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दांव की प्रकृति पैन कार्ड और आधार कार्ड से जोड़ने</w:t>
      </w:r>
      <w:r>
        <w:rPr>
          <w:rFonts w:ascii="Mangal" w:hAnsi="Mangal" w:hint="cs"/>
          <w:sz w:val="24"/>
          <w:szCs w:val="24"/>
          <w:cs/>
          <w:lang w:val="en-IN"/>
        </w:rPr>
        <w:t xml:space="preserve"> वाले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धन तक ही निर्बंधित होनी चाहिए</w:t>
      </w:r>
      <w:r w:rsidRPr="00AC503F">
        <w:rPr>
          <w:rFonts w:ascii="Mangal" w:hAnsi="Mangal" w:hint="cs"/>
          <w:sz w:val="24"/>
          <w:szCs w:val="24"/>
          <w:lang w:val="en-IN"/>
        </w:rPr>
        <w:t xml:space="preserve">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तथा किसी व्यक्ति द्वारा द्यूत में दांव पर विधिक रूप से लगाई जा सकने वाली रकम की ऊपरी सीमा विधि द्वारा विहित</w:t>
      </w:r>
      <w:r>
        <w:rPr>
          <w:rFonts w:ascii="Mangal" w:hAnsi="Mangal" w:hint="cs"/>
          <w:sz w:val="24"/>
          <w:szCs w:val="24"/>
          <w:cs/>
          <w:lang w:val="en-IN"/>
        </w:rPr>
        <w:t xml:space="preserve"> होनी चाहिए, </w:t>
      </w:r>
      <w:r w:rsidRPr="00AC503F">
        <w:rPr>
          <w:rFonts w:ascii="Mangal" w:hAnsi="Mangal" w:hint="cs"/>
          <w:sz w:val="24"/>
          <w:szCs w:val="24"/>
          <w:cs/>
          <w:lang w:val="en-IN"/>
        </w:rPr>
        <w:t>जो जमा की गई रकम</w:t>
      </w:r>
      <w:r>
        <w:rPr>
          <w:rFonts w:ascii="Mangal" w:hAnsi="Mangal" w:hint="cs"/>
          <w:sz w:val="24"/>
          <w:szCs w:val="24"/>
          <w:cs/>
          <w:lang w:val="en-IN"/>
        </w:rPr>
        <w:t>,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जीत या हार के आधार पर </w:t>
      </w:r>
      <w:r>
        <w:rPr>
          <w:rFonts w:ascii="Mangal" w:hAnsi="Mangal" w:hint="cs"/>
          <w:sz w:val="24"/>
          <w:szCs w:val="24"/>
          <w:cs/>
          <w:lang w:val="en-IN"/>
        </w:rPr>
        <w:t>हो सकेगी</w:t>
      </w:r>
      <w:r w:rsidRPr="00AC503F">
        <w:rPr>
          <w:rFonts w:ascii="Mangal" w:hAnsi="Mangal" w:hint="cs"/>
          <w:sz w:val="24"/>
          <w:szCs w:val="24"/>
          <w:cs/>
          <w:lang w:val="en-IN"/>
        </w:rPr>
        <w:t xml:space="preserve"> । यह रिपोर्ट सरकार के विचाराधीन है । </w:t>
      </w:r>
    </w:p>
    <w:p w:rsidR="00DB0BF7" w:rsidRPr="00AC503F" w:rsidRDefault="00DB0BF7" w:rsidP="00DB0BF7">
      <w:pPr>
        <w:spacing w:after="120"/>
        <w:ind w:left="36"/>
        <w:jc w:val="both"/>
        <w:rPr>
          <w:b/>
          <w:bCs/>
          <w:sz w:val="24"/>
          <w:szCs w:val="24"/>
        </w:rPr>
      </w:pPr>
    </w:p>
    <w:p w:rsidR="00DB0BF7" w:rsidRPr="00AC503F" w:rsidRDefault="00DB0BF7" w:rsidP="00DB0BF7">
      <w:pPr>
        <w:jc w:val="center"/>
        <w:rPr>
          <w:sz w:val="24"/>
          <w:szCs w:val="24"/>
        </w:rPr>
      </w:pPr>
      <w:r w:rsidRPr="00AC503F">
        <w:rPr>
          <w:sz w:val="24"/>
          <w:szCs w:val="24"/>
        </w:rPr>
        <w:t>*******************</w:t>
      </w:r>
    </w:p>
    <w:p w:rsidR="00E731F7" w:rsidRDefault="00E731F7"/>
    <w:sectPr w:rsidR="00E731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1F" w:rsidRDefault="00E731F7" w:rsidP="00AA0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21F" w:rsidRDefault="00E731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1F" w:rsidRDefault="00E731F7" w:rsidP="00AA0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BF7">
      <w:rPr>
        <w:rStyle w:val="PageNumber"/>
        <w:noProof/>
      </w:rPr>
      <w:t>1</w:t>
    </w:r>
    <w:r>
      <w:rPr>
        <w:rStyle w:val="PageNumber"/>
      </w:rPr>
      <w:fldChar w:fldCharType="end"/>
    </w:r>
  </w:p>
  <w:p w:rsidR="007F121F" w:rsidRDefault="00E731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1F" w:rsidRDefault="00E731F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1F" w:rsidRDefault="00E731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1F" w:rsidRDefault="00E73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1F" w:rsidRDefault="00E731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0BF7"/>
    <w:rsid w:val="00DB0BF7"/>
    <w:rsid w:val="00E7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BF7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DB0BF7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DB0BF7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DB0BF7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DB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2018-07-27T08:00:00Z</dcterms:created>
  <dcterms:modified xsi:type="dcterms:W3CDTF">2018-07-27T08:00:00Z</dcterms:modified>
</cp:coreProperties>
</file>