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0" w:rsidRPr="00FC45FB" w:rsidRDefault="003338D0" w:rsidP="003338D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  <w:cs/>
        </w:rPr>
        <w:t>भारत सरकार</w:t>
      </w:r>
    </w:p>
    <w:p w:rsidR="003338D0" w:rsidRPr="00FC45FB" w:rsidRDefault="003338D0" w:rsidP="003338D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3338D0" w:rsidRPr="00FC45FB" w:rsidRDefault="003338D0" w:rsidP="003338D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3338D0" w:rsidRPr="00FC45FB" w:rsidRDefault="003338D0" w:rsidP="003338D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45FB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3338D0" w:rsidRPr="00FC45FB" w:rsidRDefault="003338D0" w:rsidP="003338D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45FB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4056</w:t>
      </w:r>
    </w:p>
    <w:p w:rsidR="003338D0" w:rsidRPr="00FC45FB" w:rsidRDefault="003338D0" w:rsidP="003338D0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FC45FB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FC45FB">
        <w:rPr>
          <w:rFonts w:ascii="Mangal" w:hAnsi="Mangal" w:cs="Mangal"/>
          <w:sz w:val="24"/>
          <w:szCs w:val="24"/>
        </w:rPr>
        <w:t xml:space="preserve">03 </w:t>
      </w:r>
      <w:r w:rsidRPr="00FC45FB">
        <w:rPr>
          <w:rFonts w:ascii="Mangal" w:hAnsi="Mangal" w:cs="Mangal"/>
          <w:sz w:val="24"/>
          <w:szCs w:val="24"/>
          <w:cs/>
        </w:rPr>
        <w:t>अप्रैल</w:t>
      </w:r>
      <w:r w:rsidRPr="00FC45FB">
        <w:rPr>
          <w:rFonts w:ascii="Mangal" w:hAnsi="Mangal" w:cs="Mangal"/>
          <w:sz w:val="24"/>
          <w:szCs w:val="24"/>
        </w:rPr>
        <w:t>, 2018</w:t>
      </w:r>
      <w:r w:rsidRPr="00FC45FB">
        <w:rPr>
          <w:rFonts w:ascii="Mangal" w:hAnsi="Mangal" w:cs="Mangal"/>
          <w:sz w:val="24"/>
          <w:szCs w:val="24"/>
          <w:cs/>
        </w:rPr>
        <w:t>/</w:t>
      </w:r>
      <w:r w:rsidRPr="00FC45FB">
        <w:rPr>
          <w:rFonts w:ascii="Mangal" w:hAnsi="Mangal" w:cs="Mangal"/>
          <w:sz w:val="24"/>
          <w:szCs w:val="24"/>
        </w:rPr>
        <w:t xml:space="preserve">13 </w:t>
      </w:r>
      <w:r w:rsidRPr="00FC45FB">
        <w:rPr>
          <w:rFonts w:ascii="Mangal" w:hAnsi="Mangal" w:cs="Mangal"/>
          <w:sz w:val="24"/>
          <w:szCs w:val="24"/>
          <w:cs/>
        </w:rPr>
        <w:t>चैत्र</w:t>
      </w:r>
      <w:r w:rsidRPr="00FC45FB">
        <w:rPr>
          <w:rFonts w:ascii="Mangal" w:hAnsi="Mangal" w:cs="Mangal"/>
          <w:sz w:val="24"/>
          <w:szCs w:val="24"/>
        </w:rPr>
        <w:t xml:space="preserve">, 1940 </w:t>
      </w:r>
      <w:r w:rsidRPr="00FC45FB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436ABE" w:rsidRPr="00FC45FB" w:rsidRDefault="00436ABE" w:rsidP="009A73A4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45FB">
        <w:rPr>
          <w:rFonts w:ascii="Mangal" w:hAnsi="Mangal" w:cs="Mangal"/>
          <w:b/>
          <w:bCs/>
          <w:sz w:val="24"/>
          <w:szCs w:val="24"/>
          <w:cs/>
        </w:rPr>
        <w:t>किसानों को औपचारिक ऋण में कमी</w:t>
      </w:r>
    </w:p>
    <w:p w:rsidR="00436ABE" w:rsidRPr="00FC45FB" w:rsidRDefault="00436ABE" w:rsidP="009A73A4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</w:rPr>
        <w:t>4056.</w:t>
      </w:r>
      <w:r w:rsidRPr="00FC45FB">
        <w:rPr>
          <w:rFonts w:ascii="Mangal" w:hAnsi="Mangal" w:cs="Mangal"/>
          <w:sz w:val="24"/>
          <w:szCs w:val="24"/>
          <w:cs/>
        </w:rPr>
        <w:tab/>
        <w:t xml:space="preserve">श्री मनीष गुप्ताः </w:t>
      </w:r>
    </w:p>
    <w:p w:rsidR="00436ABE" w:rsidRPr="00FC45FB" w:rsidRDefault="00436ABE" w:rsidP="00436ABE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  <w:cs/>
        </w:rPr>
        <w:t>क्या वित्त मंत्री यह बताने की कृपा करेंगे किः</w:t>
      </w:r>
    </w:p>
    <w:p w:rsidR="00436ABE" w:rsidRPr="00FC45FB" w:rsidRDefault="00436ABE" w:rsidP="009A73A4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</w:rPr>
        <w:t>(</w:t>
      </w:r>
      <w:r w:rsidRPr="00FC45FB">
        <w:rPr>
          <w:rFonts w:ascii="Mangal" w:hAnsi="Mangal" w:cs="Mangal"/>
          <w:sz w:val="24"/>
          <w:szCs w:val="24"/>
          <w:cs/>
        </w:rPr>
        <w:t>क)</w:t>
      </w:r>
      <w:r w:rsidRPr="00FC45FB">
        <w:rPr>
          <w:rFonts w:ascii="Mangal" w:hAnsi="Mangal" w:cs="Mangal"/>
          <w:sz w:val="24"/>
          <w:szCs w:val="24"/>
          <w:cs/>
        </w:rPr>
        <w:tab/>
        <w:t xml:space="preserve">विगत तीन वर्षों के दौरान ग्रामीण बैंक </w:t>
      </w:r>
      <w:r w:rsidR="00C35C28" w:rsidRPr="00FC45FB">
        <w:rPr>
          <w:rFonts w:ascii="Mangal" w:hAnsi="Mangal" w:cs="Mangal"/>
          <w:sz w:val="24"/>
          <w:szCs w:val="24"/>
          <w:cs/>
        </w:rPr>
        <w:t>की कितनी नई शाखाएं</w:t>
      </w:r>
      <w:r w:rsidRPr="00FC45FB">
        <w:rPr>
          <w:rFonts w:ascii="Mangal" w:hAnsi="Mangal" w:cs="Mangal"/>
          <w:sz w:val="24"/>
          <w:szCs w:val="24"/>
          <w:cs/>
        </w:rPr>
        <w:t xml:space="preserve"> खोली गई हैं और तत्संबंध</w:t>
      </w:r>
      <w:r w:rsidR="00401C20" w:rsidRPr="00FC45FB">
        <w:rPr>
          <w:rFonts w:ascii="Mangal" w:hAnsi="Mangal" w:cs="Mangal"/>
          <w:sz w:val="24"/>
          <w:szCs w:val="24"/>
          <w:cs/>
        </w:rPr>
        <w:t>ी</w:t>
      </w:r>
      <w:r w:rsidR="009A73A4" w:rsidRPr="00FC45FB">
        <w:rPr>
          <w:rFonts w:ascii="Mangal" w:hAnsi="Mangal" w:cs="Mangal"/>
          <w:sz w:val="24"/>
          <w:szCs w:val="24"/>
          <w:cs/>
        </w:rPr>
        <w:t xml:space="preserve"> </w:t>
      </w:r>
      <w:r w:rsidRPr="00FC45FB">
        <w:rPr>
          <w:rFonts w:ascii="Mangal" w:hAnsi="Mangal" w:cs="Mangal"/>
          <w:sz w:val="24"/>
          <w:szCs w:val="24"/>
          <w:cs/>
        </w:rPr>
        <w:t>राज्य-वार ब्यौरा क्या है</w:t>
      </w:r>
      <w:r w:rsidRPr="00FC45FB">
        <w:rPr>
          <w:rFonts w:ascii="Mangal" w:hAnsi="Mangal" w:cs="Mangal"/>
          <w:sz w:val="24"/>
          <w:szCs w:val="24"/>
        </w:rPr>
        <w:t>;</w:t>
      </w:r>
    </w:p>
    <w:p w:rsidR="00436ABE" w:rsidRPr="00FC45FB" w:rsidRDefault="00436ABE" w:rsidP="009A73A4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</w:rPr>
        <w:t>(</w:t>
      </w:r>
      <w:r w:rsidRPr="00FC45FB">
        <w:rPr>
          <w:rFonts w:ascii="Mangal" w:hAnsi="Mangal" w:cs="Mangal"/>
          <w:sz w:val="24"/>
          <w:szCs w:val="24"/>
          <w:cs/>
        </w:rPr>
        <w:t>ख)</w:t>
      </w:r>
      <w:r w:rsidR="009A73A4" w:rsidRPr="00FC45FB">
        <w:rPr>
          <w:rFonts w:ascii="Mangal" w:hAnsi="Mangal" w:cs="Mangal"/>
          <w:sz w:val="24"/>
          <w:szCs w:val="24"/>
          <w:cs/>
        </w:rPr>
        <w:tab/>
      </w:r>
      <w:r w:rsidRPr="00FC45FB">
        <w:rPr>
          <w:rFonts w:ascii="Mangal" w:hAnsi="Mangal" w:cs="Mangal"/>
          <w:sz w:val="24"/>
          <w:szCs w:val="24"/>
          <w:cs/>
        </w:rPr>
        <w:t>क्या सहकारी बैंकों से किसानों को मिलने</w:t>
      </w:r>
      <w:r w:rsidR="009A73A4" w:rsidRPr="00FC45FB">
        <w:rPr>
          <w:rFonts w:ascii="Mangal" w:hAnsi="Mangal" w:cs="Mangal"/>
          <w:sz w:val="24"/>
          <w:szCs w:val="24"/>
          <w:cs/>
        </w:rPr>
        <w:t xml:space="preserve"> </w:t>
      </w:r>
      <w:r w:rsidRPr="00FC45FB">
        <w:rPr>
          <w:rFonts w:ascii="Mangal" w:hAnsi="Mangal" w:cs="Mangal"/>
          <w:sz w:val="24"/>
          <w:szCs w:val="24"/>
          <w:cs/>
        </w:rPr>
        <w:t>वाले औपचारिक ऋण में कमी आई है</w:t>
      </w:r>
      <w:r w:rsidRPr="00FC45FB">
        <w:rPr>
          <w:rFonts w:ascii="Mangal" w:hAnsi="Mangal" w:cs="Mangal"/>
          <w:sz w:val="24"/>
          <w:szCs w:val="24"/>
        </w:rPr>
        <w:t xml:space="preserve">, </w:t>
      </w:r>
      <w:r w:rsidRPr="00FC45FB">
        <w:rPr>
          <w:rFonts w:ascii="Mangal" w:hAnsi="Mangal" w:cs="Mangal"/>
          <w:sz w:val="24"/>
          <w:szCs w:val="24"/>
          <w:cs/>
        </w:rPr>
        <w:t>यदि हां</w:t>
      </w:r>
      <w:r w:rsidRPr="00FC45FB">
        <w:rPr>
          <w:rFonts w:ascii="Mangal" w:hAnsi="Mangal" w:cs="Mangal"/>
          <w:sz w:val="24"/>
          <w:szCs w:val="24"/>
        </w:rPr>
        <w:t xml:space="preserve">, </w:t>
      </w:r>
      <w:r w:rsidRPr="00FC45FB">
        <w:rPr>
          <w:rFonts w:ascii="Mangal" w:hAnsi="Mangal" w:cs="Mangal"/>
          <w:sz w:val="24"/>
          <w:szCs w:val="24"/>
          <w:cs/>
        </w:rPr>
        <w:t>तो</w:t>
      </w:r>
      <w:r w:rsidR="009A73A4" w:rsidRPr="00FC45FB">
        <w:rPr>
          <w:rFonts w:ascii="Mangal" w:hAnsi="Mangal" w:cs="Mangal"/>
          <w:sz w:val="24"/>
          <w:szCs w:val="24"/>
          <w:cs/>
        </w:rPr>
        <w:t xml:space="preserve"> </w:t>
      </w:r>
      <w:r w:rsidR="00401C20" w:rsidRPr="00FC45FB">
        <w:rPr>
          <w:rFonts w:ascii="Mangal" w:hAnsi="Mangal" w:cs="Mangal"/>
          <w:sz w:val="24"/>
          <w:szCs w:val="24"/>
          <w:cs/>
        </w:rPr>
        <w:t>तत्संबंधी</w:t>
      </w:r>
      <w:r w:rsidRPr="00FC45FB">
        <w:rPr>
          <w:rFonts w:ascii="Mangal" w:hAnsi="Mangal" w:cs="Mangal"/>
          <w:sz w:val="24"/>
          <w:szCs w:val="24"/>
          <w:cs/>
        </w:rPr>
        <w:t xml:space="preserve"> ब्यौरा क्या है</w:t>
      </w:r>
      <w:r w:rsidRPr="00FC45FB">
        <w:rPr>
          <w:rFonts w:ascii="Mangal" w:hAnsi="Mangal" w:cs="Mangal"/>
          <w:sz w:val="24"/>
          <w:szCs w:val="24"/>
        </w:rPr>
        <w:t xml:space="preserve">; </w:t>
      </w:r>
      <w:r w:rsidRPr="00FC45FB">
        <w:rPr>
          <w:rFonts w:ascii="Mangal" w:hAnsi="Mangal" w:cs="Mangal"/>
          <w:sz w:val="24"/>
          <w:szCs w:val="24"/>
          <w:cs/>
        </w:rPr>
        <w:t>और</w:t>
      </w:r>
    </w:p>
    <w:p w:rsidR="003338D0" w:rsidRPr="00FC45FB" w:rsidRDefault="00436ABE" w:rsidP="00401C20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</w:rPr>
        <w:t>(</w:t>
      </w:r>
      <w:r w:rsidRPr="00FC45FB">
        <w:rPr>
          <w:rFonts w:ascii="Mangal" w:hAnsi="Mangal" w:cs="Mangal"/>
          <w:sz w:val="24"/>
          <w:szCs w:val="24"/>
          <w:cs/>
        </w:rPr>
        <w:t>ग)</w:t>
      </w:r>
      <w:r w:rsidR="009A73A4" w:rsidRPr="00FC45FB">
        <w:rPr>
          <w:rFonts w:ascii="Mangal" w:hAnsi="Mangal" w:cs="Mangal"/>
          <w:sz w:val="24"/>
          <w:szCs w:val="24"/>
          <w:cs/>
        </w:rPr>
        <w:tab/>
      </w:r>
      <w:r w:rsidRPr="00FC45FB">
        <w:rPr>
          <w:rFonts w:ascii="Mangal" w:hAnsi="Mangal" w:cs="Mangal"/>
          <w:sz w:val="24"/>
          <w:szCs w:val="24"/>
          <w:cs/>
        </w:rPr>
        <w:t>क्या राष्ट्रीय कृषि और ग्रामीण विकास</w:t>
      </w:r>
      <w:r w:rsidR="009A73A4" w:rsidRPr="00FC45FB">
        <w:rPr>
          <w:rFonts w:ascii="Mangal" w:hAnsi="Mangal" w:cs="Mangal"/>
          <w:sz w:val="24"/>
          <w:szCs w:val="24"/>
          <w:cs/>
        </w:rPr>
        <w:t xml:space="preserve"> </w:t>
      </w:r>
      <w:r w:rsidRPr="00FC45FB">
        <w:rPr>
          <w:rFonts w:ascii="Mangal" w:hAnsi="Mangal" w:cs="Mangal"/>
          <w:sz w:val="24"/>
          <w:szCs w:val="24"/>
          <w:cs/>
        </w:rPr>
        <w:t>बैंक (नाबार्ड) कृषि क्षेत्र के लिए और अध</w:t>
      </w:r>
      <w:r w:rsidR="00401C20" w:rsidRPr="00FC45FB">
        <w:rPr>
          <w:rFonts w:ascii="Mangal" w:hAnsi="Mangal" w:cs="Mangal"/>
          <w:sz w:val="24"/>
          <w:szCs w:val="24"/>
          <w:cs/>
        </w:rPr>
        <w:t>िक</w:t>
      </w:r>
      <w:r w:rsidR="009A73A4" w:rsidRPr="00FC45FB">
        <w:rPr>
          <w:rFonts w:ascii="Mangal" w:hAnsi="Mangal" w:cs="Mangal"/>
          <w:sz w:val="24"/>
          <w:szCs w:val="24"/>
        </w:rPr>
        <w:t xml:space="preserve"> </w:t>
      </w:r>
      <w:r w:rsidRPr="00FC45FB">
        <w:rPr>
          <w:rFonts w:ascii="Mangal" w:hAnsi="Mangal" w:cs="Mangal"/>
          <w:sz w:val="24"/>
          <w:szCs w:val="24"/>
          <w:cs/>
        </w:rPr>
        <w:t>ऋण प्रदान करने का इरादा रखता है</w:t>
      </w:r>
      <w:r w:rsidRPr="00FC45FB">
        <w:rPr>
          <w:rFonts w:ascii="Mangal" w:hAnsi="Mangal" w:cs="Mangal"/>
          <w:sz w:val="24"/>
          <w:szCs w:val="24"/>
        </w:rPr>
        <w:t xml:space="preserve">, </w:t>
      </w:r>
      <w:r w:rsidR="00401C20" w:rsidRPr="00FC45FB">
        <w:rPr>
          <w:rFonts w:ascii="Mangal" w:hAnsi="Mangal" w:cs="Mangal"/>
          <w:sz w:val="24"/>
          <w:szCs w:val="24"/>
          <w:cs/>
        </w:rPr>
        <w:t>तत्संबंधी</w:t>
      </w:r>
      <w:r w:rsidRPr="00FC45FB">
        <w:rPr>
          <w:rFonts w:ascii="Mangal" w:hAnsi="Mangal" w:cs="Mangal"/>
          <w:sz w:val="24"/>
          <w:szCs w:val="24"/>
          <w:cs/>
        </w:rPr>
        <w:t xml:space="preserve"> ब्यौरा</w:t>
      </w:r>
      <w:r w:rsidR="009A73A4" w:rsidRPr="00FC45FB">
        <w:rPr>
          <w:rFonts w:ascii="Mangal" w:hAnsi="Mangal" w:cs="Mangal"/>
          <w:sz w:val="24"/>
          <w:szCs w:val="24"/>
          <w:cs/>
        </w:rPr>
        <w:t xml:space="preserve"> </w:t>
      </w:r>
      <w:r w:rsidRPr="00FC45FB">
        <w:rPr>
          <w:rFonts w:ascii="Mangal" w:hAnsi="Mangal" w:cs="Mangal"/>
          <w:sz w:val="24"/>
          <w:szCs w:val="24"/>
          <w:cs/>
        </w:rPr>
        <w:t>क्या है</w:t>
      </w:r>
      <w:r w:rsidR="003338D0" w:rsidRPr="00FC45FB">
        <w:rPr>
          <w:rFonts w:ascii="Mangal" w:hAnsi="Mangal" w:cs="Mangal"/>
          <w:sz w:val="24"/>
          <w:szCs w:val="24"/>
        </w:rPr>
        <w:t xml:space="preserve">?  </w:t>
      </w:r>
    </w:p>
    <w:p w:rsidR="003338D0" w:rsidRPr="00FC45FB" w:rsidRDefault="003338D0" w:rsidP="003338D0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45FB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3338D0" w:rsidRPr="00FC45FB" w:rsidRDefault="003338D0" w:rsidP="003338D0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3338D0" w:rsidRDefault="004047C6" w:rsidP="003338D0">
      <w:pPr>
        <w:pStyle w:val="ListParagraph"/>
        <w:tabs>
          <w:tab w:val="left" w:pos="720"/>
        </w:tabs>
        <w:ind w:right="-85"/>
        <w:contextualSpacing w:val="0"/>
        <w:jc w:val="both"/>
      </w:pPr>
      <w:r>
        <w:rPr>
          <w:b/>
          <w:bCs/>
          <w:cs/>
        </w:rPr>
        <w:t>(क)</w:t>
      </w:r>
      <w:r w:rsidR="003338D0" w:rsidRPr="00FC45FB">
        <w:rPr>
          <w:b/>
          <w:bCs/>
          <w:cs/>
        </w:rPr>
        <w:t>:</w:t>
      </w:r>
      <w:r>
        <w:rPr>
          <w:cs/>
        </w:rPr>
        <w:t xml:space="preserve"> 2014-15</w:t>
      </w:r>
      <w:r>
        <w:t xml:space="preserve">, 2015-16, 2016-17 </w:t>
      </w:r>
      <w:r>
        <w:rPr>
          <w:cs/>
        </w:rPr>
        <w:t xml:space="preserve">और 2017-18 में वाणिज्यिक बैंकों द्वारा खोली गई ग्रामीण बैंक शाखाओं </w:t>
      </w:r>
      <w:r w:rsidR="00750681">
        <w:rPr>
          <w:cs/>
        </w:rPr>
        <w:t xml:space="preserve">का राज्य-वार ब्यौरा </w:t>
      </w:r>
      <w:r w:rsidR="00750681" w:rsidRPr="00164678">
        <w:rPr>
          <w:b/>
          <w:bCs/>
          <w:cs/>
        </w:rPr>
        <w:t>अनुबंध-</w:t>
      </w:r>
      <w:r w:rsidR="00164678" w:rsidRPr="00164678">
        <w:rPr>
          <w:b/>
          <w:bCs/>
        </w:rPr>
        <w:t>I</w:t>
      </w:r>
      <w:r w:rsidR="00750681">
        <w:rPr>
          <w:cs/>
        </w:rPr>
        <w:t xml:space="preserve"> में है। </w:t>
      </w:r>
    </w:p>
    <w:p w:rsidR="00750681" w:rsidRDefault="00750681" w:rsidP="003338D0">
      <w:pPr>
        <w:pStyle w:val="ListParagraph"/>
        <w:tabs>
          <w:tab w:val="left" w:pos="720"/>
        </w:tabs>
        <w:ind w:right="-85"/>
        <w:contextualSpacing w:val="0"/>
        <w:jc w:val="both"/>
      </w:pPr>
      <w:r w:rsidRPr="00164678">
        <w:rPr>
          <w:rFonts w:hint="cs"/>
          <w:b/>
          <w:bCs/>
          <w:cs/>
        </w:rPr>
        <w:t>(ख):</w:t>
      </w:r>
      <w:r>
        <w:rPr>
          <w:rFonts w:hint="cs"/>
          <w:cs/>
        </w:rPr>
        <w:t xml:space="preserve"> राष्ट्रीय कृषि और ग्रामीण विकास बैंक (नाबार्ड) द्वारा</w:t>
      </w:r>
      <w:r w:rsidR="00FB213B">
        <w:rPr>
          <w:rFonts w:hint="cs"/>
          <w:cs/>
        </w:rPr>
        <w:t xml:space="preserve"> दी गई सूचना के अनुसार विगत पांच वर्ष के दौरान सहकारी </w:t>
      </w:r>
      <w:r w:rsidR="00636CF8">
        <w:rPr>
          <w:rFonts w:hint="cs"/>
          <w:cs/>
        </w:rPr>
        <w:t xml:space="preserve">बैंकों द्वारा संवितरित कृषि ऋण का ब्यौरा </w:t>
      </w:r>
      <w:r w:rsidR="00636CF8" w:rsidRPr="00164678">
        <w:rPr>
          <w:rFonts w:hint="cs"/>
          <w:b/>
          <w:bCs/>
          <w:cs/>
        </w:rPr>
        <w:t>अनुबंध-</w:t>
      </w:r>
      <w:r w:rsidR="00164678" w:rsidRPr="00164678">
        <w:rPr>
          <w:b/>
          <w:bCs/>
        </w:rPr>
        <w:t>II</w:t>
      </w:r>
      <w:r w:rsidR="00636CF8">
        <w:rPr>
          <w:rFonts w:hint="cs"/>
          <w:cs/>
        </w:rPr>
        <w:t xml:space="preserve"> में है। </w:t>
      </w:r>
    </w:p>
    <w:p w:rsidR="00636CF8" w:rsidRPr="00FC45FB" w:rsidRDefault="00636CF8" w:rsidP="001E56C7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164678">
        <w:rPr>
          <w:rFonts w:hint="cs"/>
          <w:b/>
          <w:bCs/>
          <w:cs/>
        </w:rPr>
        <w:t>(ग):</w:t>
      </w:r>
      <w:r>
        <w:rPr>
          <w:rFonts w:hint="cs"/>
          <w:cs/>
        </w:rPr>
        <w:t xml:space="preserve"> राष्ट्रीय कृषि और ग्रामीण विकास बैंक (नाबार्ड) ने सूचित किया है कि </w:t>
      </w:r>
      <w:r w:rsidR="002201DA">
        <w:rPr>
          <w:rFonts w:hint="cs"/>
          <w:cs/>
        </w:rPr>
        <w:t xml:space="preserve">वह किसानों को सीधे </w:t>
      </w:r>
      <w:r w:rsidR="00A900F6">
        <w:rPr>
          <w:rFonts w:hint="cs"/>
          <w:cs/>
        </w:rPr>
        <w:t>ऋण प्रदान नहीं करता है। तथापि</w:t>
      </w:r>
      <w:r w:rsidR="00A900F6">
        <w:rPr>
          <w:rFonts w:hint="cs"/>
        </w:rPr>
        <w:t xml:space="preserve">, </w:t>
      </w:r>
      <w:r w:rsidR="00A900F6">
        <w:rPr>
          <w:rFonts w:hint="cs"/>
          <w:cs/>
        </w:rPr>
        <w:t xml:space="preserve">नाबार्ड उधारकर्ताओं को उनके ऋणों के प्रति बैंकों को दीर्घावधि और अल्पावधि पुनर्वित्त प्रदान करने </w:t>
      </w:r>
      <w:r w:rsidR="001C1600">
        <w:rPr>
          <w:rFonts w:hint="cs"/>
          <w:cs/>
        </w:rPr>
        <w:t xml:space="preserve">तथा क्षेत्रीय ग्रामीण बैंकों और सहकारी बैंकों के लिए ब्याज सहायता योजना की निगरानी करने के साथ-साथ कृषि ऋण की उपलब्धता को </w:t>
      </w:r>
      <w:r w:rsidR="001E56C7">
        <w:rPr>
          <w:rFonts w:hint="cs"/>
          <w:cs/>
        </w:rPr>
        <w:t xml:space="preserve">सुकर बनाता है/बढ़ावा देता है। </w:t>
      </w:r>
    </w:p>
    <w:p w:rsidR="001808D4" w:rsidRPr="00FC45FB" w:rsidRDefault="003338D0" w:rsidP="003338D0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</w:rPr>
        <w:t>*****</w:t>
      </w:r>
    </w:p>
    <w:p w:rsidR="001808D4" w:rsidRPr="00FC45FB" w:rsidRDefault="001808D4">
      <w:pPr>
        <w:rPr>
          <w:rFonts w:ascii="Mangal" w:hAnsi="Mangal" w:cs="Mangal"/>
          <w:sz w:val="24"/>
          <w:szCs w:val="24"/>
        </w:rPr>
      </w:pPr>
      <w:r w:rsidRPr="00FC45FB">
        <w:rPr>
          <w:rFonts w:ascii="Mangal" w:hAnsi="Mangal" w:cs="Mangal"/>
          <w:sz w:val="24"/>
          <w:szCs w:val="24"/>
        </w:rPr>
        <w:br w:type="page"/>
      </w:r>
    </w:p>
    <w:p w:rsidR="001808D4" w:rsidRPr="003B1CE5" w:rsidRDefault="00BC5160" w:rsidP="00FC45FB">
      <w:pPr>
        <w:spacing w:after="120" w:line="240" w:lineRule="auto"/>
        <w:jc w:val="right"/>
        <w:rPr>
          <w:rFonts w:ascii="Mangal" w:hAnsi="Mangal" w:cs="Mangal"/>
          <w:b/>
          <w:sz w:val="18"/>
          <w:szCs w:val="18"/>
        </w:rPr>
      </w:pPr>
      <w:r w:rsidRPr="003B1CE5">
        <w:rPr>
          <w:rFonts w:ascii="Mangal" w:hAnsi="Mangal" w:cs="Mangal"/>
          <w:bCs/>
          <w:sz w:val="18"/>
          <w:szCs w:val="18"/>
          <w:cs/>
        </w:rPr>
        <w:lastRenderedPageBreak/>
        <w:t>अनुबंध</w:t>
      </w:r>
      <w:r w:rsidR="001808D4" w:rsidRPr="003B1CE5">
        <w:rPr>
          <w:rFonts w:ascii="Mangal" w:hAnsi="Mangal" w:cs="Mangal"/>
          <w:b/>
          <w:sz w:val="18"/>
          <w:szCs w:val="18"/>
        </w:rPr>
        <w:t>-I</w:t>
      </w:r>
    </w:p>
    <w:p w:rsidR="001808D4" w:rsidRPr="003F0A77" w:rsidRDefault="003F0A77" w:rsidP="00FC45FB">
      <w:pPr>
        <w:spacing w:after="120" w:line="240" w:lineRule="auto"/>
        <w:jc w:val="center"/>
        <w:rPr>
          <w:rFonts w:ascii="Mangal" w:hAnsi="Mangal" w:cs="Mangal"/>
          <w:bCs/>
          <w:sz w:val="18"/>
          <w:szCs w:val="18"/>
        </w:rPr>
      </w:pPr>
      <w:r w:rsidRPr="003F0A77">
        <w:rPr>
          <w:rFonts w:ascii="Mangal" w:hAnsi="Mangal" w:cs="Mangal"/>
          <w:bCs/>
          <w:sz w:val="18"/>
          <w:szCs w:val="18"/>
          <w:cs/>
        </w:rPr>
        <w:t xml:space="preserve">वाणिज्यिक बैंकों द्वारा खोली गई ग्रामीण बैंक शाखाओं की संख्या </w:t>
      </w:r>
    </w:p>
    <w:tbl>
      <w:tblPr>
        <w:tblW w:w="10080" w:type="dxa"/>
        <w:tblInd w:w="93" w:type="dxa"/>
        <w:tblLayout w:type="fixed"/>
        <w:tblLook w:val="04A0"/>
      </w:tblPr>
      <w:tblGrid>
        <w:gridCol w:w="3134"/>
        <w:gridCol w:w="1134"/>
        <w:gridCol w:w="1276"/>
        <w:gridCol w:w="1275"/>
        <w:gridCol w:w="3261"/>
      </w:tblGrid>
      <w:tr w:rsidR="001808D4" w:rsidRPr="003B1CE5" w:rsidTr="003B1CE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08D4" w:rsidRPr="003B1CE5" w:rsidRDefault="009D2D30" w:rsidP="003F0A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राज्य/संघ राज्य क्षेत्र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2016-17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8D4" w:rsidRPr="003B1CE5" w:rsidRDefault="00BC5160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2017-18 (</w:t>
            </w:r>
            <w:r w:rsidR="001808D4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30</w:t>
            </w:r>
            <w:r w:rsidR="009D2D30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D2D30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सितम्बर</w:t>
            </w:r>
            <w:r w:rsidR="001808D4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 xml:space="preserve"> 2017</w:t>
            </w:r>
            <w:r w:rsidR="009D2D30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D2D30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तक</w:t>
            </w:r>
            <w:r w:rsidR="001808D4"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9D2D30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अंडमान निकोबार द्वीप समूह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9D2D30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आन्ध्र प्रदेश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27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अरुणाचल प्रदेश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असम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चण्डीगढ़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छत्तीसगढ़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7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दादरा एवं नगर हवेली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दमन एवं दीव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गोवा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हरियाणा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26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5F622D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>जम्मू ए</w:t>
            </w:r>
            <w:r w:rsidR="00BB1546"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वं कश्मीर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झारखण्ड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लक्षद्वीप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मध्य प्रदेश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13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महाराष्ट्र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28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BB1546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नागालैण्ड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राष्ट्रीय राजधानी क्षेत्र दिल्ली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ओडिशा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राजस्थान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सिक्किम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42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9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उत्तर प्रदेश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44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उत्तराखण्ड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</w:rPr>
              <w:t xml:space="preserve">पश्चिम बंगाल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11</w:t>
            </w:r>
          </w:p>
        </w:tc>
      </w:tr>
      <w:tr w:rsidR="001808D4" w:rsidRPr="003B1CE5" w:rsidTr="003B1CE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08D4" w:rsidRPr="003B1CE5" w:rsidRDefault="00267A61" w:rsidP="003B1CE5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 xml:space="preserve">कुल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2,303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1,417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08D4" w:rsidRPr="003B1CE5" w:rsidRDefault="001808D4" w:rsidP="00FC45F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3B1CE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  <w:t>380</w:t>
            </w:r>
          </w:p>
        </w:tc>
      </w:tr>
    </w:tbl>
    <w:p w:rsidR="001808D4" w:rsidRPr="00FC45FB" w:rsidRDefault="00267A61" w:rsidP="001808D4">
      <w:pPr>
        <w:spacing w:after="0" w:line="240" w:lineRule="auto"/>
        <w:rPr>
          <w:rFonts w:ascii="Mangal" w:eastAsia="Times New Roman" w:hAnsi="Mangal" w:cs="Mangal"/>
          <w:sz w:val="24"/>
          <w:szCs w:val="24"/>
        </w:rPr>
      </w:pPr>
      <w:r w:rsidRPr="003B1CE5">
        <w:rPr>
          <w:rFonts w:ascii="Mangal" w:eastAsia="Times New Roman" w:hAnsi="Mangal" w:cs="Mangal"/>
          <w:sz w:val="18"/>
          <w:szCs w:val="18"/>
          <w:cs/>
        </w:rPr>
        <w:t xml:space="preserve">स्रोत: भारतीय रिजर्व बैंक </w:t>
      </w:r>
    </w:p>
    <w:p w:rsidR="001808D4" w:rsidRPr="00FC45FB" w:rsidRDefault="001808D4" w:rsidP="001808D4">
      <w:pPr>
        <w:spacing w:after="0"/>
        <w:contextualSpacing/>
        <w:rPr>
          <w:rFonts w:ascii="Mangal" w:eastAsia="Times New Roman" w:hAnsi="Mangal" w:cs="Mangal"/>
          <w:sz w:val="24"/>
          <w:szCs w:val="24"/>
        </w:rPr>
      </w:pPr>
    </w:p>
    <w:p w:rsidR="001808D4" w:rsidRPr="00FC45FB" w:rsidRDefault="001808D4" w:rsidP="001808D4">
      <w:pPr>
        <w:spacing w:line="240" w:lineRule="auto"/>
        <w:jc w:val="center"/>
        <w:rPr>
          <w:rFonts w:ascii="Mangal" w:hAnsi="Mangal" w:cs="Mangal"/>
          <w:b/>
          <w:sz w:val="24"/>
          <w:szCs w:val="24"/>
        </w:rPr>
      </w:pPr>
      <w:r w:rsidRPr="00FC45FB">
        <w:rPr>
          <w:rFonts w:ascii="Mangal" w:hAnsi="Mangal" w:cs="Mangal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808D4" w:rsidRPr="00FC45FB" w:rsidRDefault="001808D4" w:rsidP="001808D4">
      <w:pPr>
        <w:spacing w:after="0" w:line="240" w:lineRule="auto"/>
        <w:jc w:val="right"/>
        <w:rPr>
          <w:rFonts w:ascii="Mangal" w:hAnsi="Mangal" w:cs="Mangal"/>
          <w:b/>
          <w:sz w:val="24"/>
          <w:szCs w:val="24"/>
        </w:rPr>
      </w:pPr>
    </w:p>
    <w:p w:rsidR="001808D4" w:rsidRPr="00FC45FB" w:rsidRDefault="00A84B13" w:rsidP="001808D4">
      <w:pPr>
        <w:spacing w:after="0" w:line="240" w:lineRule="auto"/>
        <w:jc w:val="right"/>
        <w:rPr>
          <w:rFonts w:ascii="Mangal" w:hAnsi="Mangal" w:cs="Mangal"/>
          <w:b/>
          <w:i/>
          <w:sz w:val="24"/>
          <w:szCs w:val="24"/>
        </w:rPr>
      </w:pPr>
      <w:r w:rsidRPr="00A84B13">
        <w:rPr>
          <w:rFonts w:ascii="Mangal" w:hAnsi="Mangal" w:cs="Mangal"/>
          <w:bCs/>
          <w:i/>
          <w:sz w:val="24"/>
          <w:szCs w:val="24"/>
          <w:cs/>
        </w:rPr>
        <w:t>अनुबंध</w:t>
      </w:r>
      <w:r w:rsidR="001808D4" w:rsidRPr="00FC45FB">
        <w:rPr>
          <w:rFonts w:ascii="Mangal" w:hAnsi="Mangal" w:cs="Mangal"/>
          <w:b/>
          <w:i/>
          <w:sz w:val="24"/>
          <w:szCs w:val="24"/>
        </w:rPr>
        <w:t>-II</w:t>
      </w:r>
    </w:p>
    <w:p w:rsidR="001808D4" w:rsidRPr="00FC45FB" w:rsidRDefault="001808D4" w:rsidP="001808D4">
      <w:pPr>
        <w:spacing w:line="240" w:lineRule="auto"/>
        <w:rPr>
          <w:rFonts w:ascii="Mangal" w:hAnsi="Mangal" w:cs="Mangal"/>
          <w:b/>
          <w:sz w:val="24"/>
          <w:szCs w:val="24"/>
        </w:rPr>
      </w:pPr>
    </w:p>
    <w:p w:rsidR="001808D4" w:rsidRPr="00A84B13" w:rsidRDefault="00A84B13" w:rsidP="00A84B13">
      <w:pPr>
        <w:spacing w:line="240" w:lineRule="auto"/>
        <w:jc w:val="center"/>
        <w:rPr>
          <w:rFonts w:ascii="Mangal" w:hAnsi="Mangal" w:cs="Mangal"/>
          <w:bCs/>
          <w:sz w:val="24"/>
          <w:szCs w:val="24"/>
        </w:rPr>
      </w:pPr>
      <w:r w:rsidRPr="00A84B13">
        <w:rPr>
          <w:rFonts w:ascii="Mangal" w:hAnsi="Mangal" w:cs="Mangal"/>
          <w:bCs/>
          <w:sz w:val="24"/>
          <w:szCs w:val="24"/>
          <w:cs/>
        </w:rPr>
        <w:t xml:space="preserve">सहकारी बैंकों द्वारा संवितरित कृषि ऋण </w:t>
      </w:r>
    </w:p>
    <w:tbl>
      <w:tblPr>
        <w:tblW w:w="5000" w:type="pct"/>
        <w:tblLook w:val="04A0"/>
      </w:tblPr>
      <w:tblGrid>
        <w:gridCol w:w="2271"/>
        <w:gridCol w:w="5981"/>
        <w:gridCol w:w="495"/>
        <w:gridCol w:w="495"/>
      </w:tblGrid>
      <w:tr w:rsidR="001808D4" w:rsidRPr="00FC45FB" w:rsidTr="00ED2F0F">
        <w:trPr>
          <w:trHeight w:val="30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A84B13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वर्ष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A84B13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 xml:space="preserve">संवितरित राशि </w:t>
            </w:r>
            <w:r w:rsidR="008839FE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(</w:t>
            </w:r>
            <w:r w:rsidR="008839FE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करोड़ रुपए</w:t>
            </w:r>
            <w:r w:rsidR="001808D4" w:rsidRPr="00FC45FB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1808D4" w:rsidRPr="00FC45FB" w:rsidTr="00ED2F0F">
        <w:trPr>
          <w:trHeight w:val="30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1,11,203.30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1808D4" w:rsidRPr="00FC45FB" w:rsidTr="00ED2F0F">
        <w:trPr>
          <w:trHeight w:val="30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1,19,963.79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1808D4" w:rsidRPr="00FC45FB" w:rsidTr="00ED2F0F">
        <w:trPr>
          <w:trHeight w:val="30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1,38,469.50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1808D4" w:rsidRPr="00FC45FB" w:rsidTr="00ED2F0F">
        <w:trPr>
          <w:trHeight w:val="30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1,53,294.98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1808D4" w:rsidRPr="00FC45FB" w:rsidTr="00ED2F0F">
        <w:trPr>
          <w:trHeight w:val="30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bCs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FC45FB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1,42,758.30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D4" w:rsidRPr="00FC45FB" w:rsidRDefault="001808D4" w:rsidP="00ED2F0F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</w:tbl>
    <w:p w:rsidR="001808D4" w:rsidRPr="00FC45FB" w:rsidRDefault="001808D4" w:rsidP="001808D4">
      <w:pPr>
        <w:spacing w:after="0" w:line="240" w:lineRule="auto"/>
        <w:rPr>
          <w:rFonts w:ascii="Mangal" w:eastAsia="Times New Roman" w:hAnsi="Mangal" w:cs="Mangal"/>
          <w:sz w:val="24"/>
          <w:szCs w:val="24"/>
        </w:rPr>
      </w:pPr>
      <w:r w:rsidRPr="00FC45FB">
        <w:rPr>
          <w:rFonts w:ascii="Mangal" w:eastAsia="Times New Roman" w:hAnsi="Mangal" w:cs="Mangal"/>
          <w:sz w:val="24"/>
          <w:szCs w:val="24"/>
        </w:rPr>
        <w:t xml:space="preserve"> </w:t>
      </w:r>
      <w:r w:rsidR="008839FE">
        <w:rPr>
          <w:rFonts w:ascii="Mangal" w:eastAsia="Times New Roman" w:hAnsi="Mangal" w:cs="Mangal"/>
          <w:sz w:val="24"/>
          <w:szCs w:val="24"/>
          <w:cs/>
        </w:rPr>
        <w:t xml:space="preserve">स्रोत: राष्ट्रीय कृषि और ग्रामीण विकास बैंक </w:t>
      </w:r>
    </w:p>
    <w:p w:rsidR="001808D4" w:rsidRPr="00FC45FB" w:rsidRDefault="001808D4" w:rsidP="001808D4">
      <w:pPr>
        <w:spacing w:after="0"/>
        <w:contextualSpacing/>
        <w:rPr>
          <w:rFonts w:ascii="Mangal" w:eastAsia="Times New Roman" w:hAnsi="Mangal" w:cs="Mangal"/>
          <w:i/>
          <w:sz w:val="24"/>
          <w:szCs w:val="24"/>
        </w:rPr>
      </w:pPr>
    </w:p>
    <w:p w:rsidR="003338D0" w:rsidRPr="00FC45FB" w:rsidRDefault="003338D0" w:rsidP="003338D0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</w:p>
    <w:p w:rsidR="003338D0" w:rsidRPr="00FC45FB" w:rsidRDefault="003338D0" w:rsidP="003338D0">
      <w:pPr>
        <w:rPr>
          <w:rFonts w:ascii="Mangal" w:hAnsi="Mangal" w:cs="Mangal"/>
        </w:rPr>
      </w:pPr>
    </w:p>
    <w:p w:rsidR="006030A4" w:rsidRPr="00FC45FB" w:rsidRDefault="006030A4">
      <w:pPr>
        <w:rPr>
          <w:rFonts w:ascii="Mangal" w:hAnsi="Mangal" w:cs="Mangal"/>
        </w:rPr>
      </w:pPr>
    </w:p>
    <w:sectPr w:rsidR="006030A4" w:rsidRPr="00FC45FB" w:rsidSect="0060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8D0"/>
    <w:rsid w:val="000B097D"/>
    <w:rsid w:val="000F13A4"/>
    <w:rsid w:val="000F2938"/>
    <w:rsid w:val="00164678"/>
    <w:rsid w:val="001808D4"/>
    <w:rsid w:val="001C1600"/>
    <w:rsid w:val="001E56C7"/>
    <w:rsid w:val="002201DA"/>
    <w:rsid w:val="00267A61"/>
    <w:rsid w:val="003338D0"/>
    <w:rsid w:val="003B1CE5"/>
    <w:rsid w:val="003F0A77"/>
    <w:rsid w:val="00401C20"/>
    <w:rsid w:val="004047C6"/>
    <w:rsid w:val="00436ABE"/>
    <w:rsid w:val="005F622D"/>
    <w:rsid w:val="006030A4"/>
    <w:rsid w:val="00636CF8"/>
    <w:rsid w:val="00750681"/>
    <w:rsid w:val="008839FE"/>
    <w:rsid w:val="00963F33"/>
    <w:rsid w:val="009A73A4"/>
    <w:rsid w:val="009D2D30"/>
    <w:rsid w:val="00A84B13"/>
    <w:rsid w:val="00A900F6"/>
    <w:rsid w:val="00AF2A1F"/>
    <w:rsid w:val="00B670F0"/>
    <w:rsid w:val="00B87938"/>
    <w:rsid w:val="00BB1546"/>
    <w:rsid w:val="00BC5160"/>
    <w:rsid w:val="00C35C28"/>
    <w:rsid w:val="00FB213B"/>
    <w:rsid w:val="00FC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D0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DFS</cp:lastModifiedBy>
  <cp:revision>2</cp:revision>
  <dcterms:created xsi:type="dcterms:W3CDTF">2018-04-02T13:33:00Z</dcterms:created>
  <dcterms:modified xsi:type="dcterms:W3CDTF">2018-04-02T13:33:00Z</dcterms:modified>
</cp:coreProperties>
</file>