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Pr="0041784B" w:rsidRDefault="00D7300F" w:rsidP="00D7300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41784B">
        <w:rPr>
          <w:rFonts w:ascii="Mangal" w:hAnsi="Mangal" w:cs="Mangal"/>
          <w:szCs w:val="22"/>
          <w:cs/>
        </w:rPr>
        <w:t>भारत सरकार</w:t>
      </w:r>
    </w:p>
    <w:p w:rsidR="00D7300F" w:rsidRPr="0041784B" w:rsidRDefault="00D7300F" w:rsidP="00D7300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41784B">
        <w:rPr>
          <w:rFonts w:ascii="Mangal" w:hAnsi="Mangal" w:cs="Mangal"/>
          <w:szCs w:val="22"/>
          <w:cs/>
        </w:rPr>
        <w:t xml:space="preserve">वित्त मंत्रालय </w:t>
      </w:r>
    </w:p>
    <w:p w:rsidR="00D7300F" w:rsidRPr="0041784B" w:rsidRDefault="00D7300F" w:rsidP="00D7300F">
      <w:pPr>
        <w:spacing w:after="0" w:line="240" w:lineRule="auto"/>
        <w:jc w:val="center"/>
        <w:rPr>
          <w:rFonts w:ascii="Mangal" w:hAnsi="Mangal" w:cs="Mangal"/>
          <w:szCs w:val="22"/>
        </w:rPr>
      </w:pPr>
      <w:r w:rsidRPr="0041784B">
        <w:rPr>
          <w:rFonts w:ascii="Mangal" w:hAnsi="Mangal" w:cs="Mangal"/>
          <w:szCs w:val="22"/>
          <w:cs/>
        </w:rPr>
        <w:t>वित्तीय सेवाएं विभाग</w:t>
      </w:r>
    </w:p>
    <w:p w:rsidR="00D7300F" w:rsidRPr="0041784B" w:rsidRDefault="00D7300F" w:rsidP="00D7300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41784B">
        <w:rPr>
          <w:rFonts w:ascii="Mangal" w:hAnsi="Mangal" w:cs="Mangal"/>
          <w:b/>
          <w:bCs/>
          <w:szCs w:val="22"/>
          <w:cs/>
        </w:rPr>
        <w:t xml:space="preserve">राज्‍य सभा </w:t>
      </w:r>
    </w:p>
    <w:p w:rsidR="00D7300F" w:rsidRPr="0041784B" w:rsidRDefault="00D7300F" w:rsidP="00D7300F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41784B">
        <w:rPr>
          <w:rFonts w:ascii="Mangal" w:hAnsi="Mangal" w:cs="Mangal"/>
          <w:b/>
          <w:bCs/>
          <w:szCs w:val="22"/>
          <w:cs/>
        </w:rPr>
        <w:t>अतारांकित प्रश्न संख्या 4044</w:t>
      </w:r>
    </w:p>
    <w:p w:rsidR="00D7300F" w:rsidRPr="0041784B" w:rsidRDefault="00D7300F" w:rsidP="00D7300F">
      <w:pPr>
        <w:spacing w:after="120" w:line="240" w:lineRule="auto"/>
        <w:jc w:val="center"/>
        <w:rPr>
          <w:rFonts w:ascii="Mangal" w:hAnsi="Mangal" w:cs="Mangal"/>
          <w:szCs w:val="22"/>
          <w:lang w:val="en-US"/>
        </w:rPr>
      </w:pPr>
      <w:r w:rsidRPr="0041784B">
        <w:rPr>
          <w:rFonts w:ascii="Mangal" w:hAnsi="Mangal" w:cs="Mangal"/>
          <w:szCs w:val="22"/>
          <w:cs/>
        </w:rPr>
        <w:t xml:space="preserve">(जिसका उत्तर </w:t>
      </w:r>
      <w:r w:rsidRPr="0041784B">
        <w:rPr>
          <w:rFonts w:ascii="Mangal" w:hAnsi="Mangal" w:cs="Mangal"/>
          <w:szCs w:val="22"/>
        </w:rPr>
        <w:t xml:space="preserve">03 </w:t>
      </w:r>
      <w:r w:rsidRPr="0041784B">
        <w:rPr>
          <w:rFonts w:ascii="Mangal" w:hAnsi="Mangal" w:cs="Mangal"/>
          <w:szCs w:val="22"/>
          <w:cs/>
        </w:rPr>
        <w:t>अप्रैल</w:t>
      </w:r>
      <w:r w:rsidRPr="0041784B">
        <w:rPr>
          <w:rFonts w:ascii="Mangal" w:hAnsi="Mangal" w:cs="Mangal"/>
          <w:szCs w:val="22"/>
        </w:rPr>
        <w:t>, 2018</w:t>
      </w:r>
      <w:r w:rsidRPr="0041784B">
        <w:rPr>
          <w:rFonts w:ascii="Mangal" w:hAnsi="Mangal" w:cs="Mangal"/>
          <w:szCs w:val="22"/>
          <w:cs/>
        </w:rPr>
        <w:t>/</w:t>
      </w:r>
      <w:r w:rsidRPr="0041784B">
        <w:rPr>
          <w:rFonts w:ascii="Mangal" w:hAnsi="Mangal" w:cs="Mangal"/>
          <w:szCs w:val="22"/>
        </w:rPr>
        <w:t xml:space="preserve">13 </w:t>
      </w:r>
      <w:r w:rsidRPr="0041784B">
        <w:rPr>
          <w:rFonts w:ascii="Mangal" w:hAnsi="Mangal" w:cs="Mangal"/>
          <w:szCs w:val="22"/>
          <w:cs/>
        </w:rPr>
        <w:t>चैत्र</w:t>
      </w:r>
      <w:r w:rsidRPr="0041784B">
        <w:rPr>
          <w:rFonts w:ascii="Mangal" w:hAnsi="Mangal" w:cs="Mangal"/>
          <w:szCs w:val="22"/>
        </w:rPr>
        <w:t xml:space="preserve">, 1940 </w:t>
      </w:r>
      <w:r w:rsidRPr="0041784B">
        <w:rPr>
          <w:rFonts w:ascii="Mangal" w:hAnsi="Mangal" w:cs="Mangal"/>
          <w:szCs w:val="22"/>
          <w:cs/>
        </w:rPr>
        <w:t>(शक) को दिया जाना है)</w:t>
      </w:r>
    </w:p>
    <w:p w:rsidR="00BB4164" w:rsidRPr="0041784B" w:rsidRDefault="00BB4164" w:rsidP="003940F3">
      <w:pPr>
        <w:spacing w:after="120" w:line="240" w:lineRule="auto"/>
        <w:jc w:val="center"/>
        <w:rPr>
          <w:rFonts w:ascii="Mangal" w:eastAsia="Times New Roman" w:hAnsi="Mangal" w:cs="Mangal"/>
          <w:b/>
          <w:bCs/>
          <w:szCs w:val="22"/>
        </w:rPr>
      </w:pPr>
      <w:r w:rsidRPr="0041784B">
        <w:rPr>
          <w:rFonts w:ascii="Mangal" w:eastAsia="Times New Roman" w:hAnsi="Mangal" w:cs="Mangal"/>
          <w:b/>
          <w:bCs/>
          <w:szCs w:val="22"/>
          <w:cs/>
        </w:rPr>
        <w:t xml:space="preserve">सार्वजनिक क्षेत्र के बैंकों </w:t>
      </w:r>
      <w:r w:rsidR="009901C8">
        <w:rPr>
          <w:rFonts w:ascii="Mangal" w:eastAsia="Times New Roman" w:hAnsi="Mangal" w:cs="Mangal"/>
          <w:b/>
          <w:bCs/>
          <w:szCs w:val="22"/>
          <w:cs/>
        </w:rPr>
        <w:t>के</w:t>
      </w:r>
      <w:r w:rsidRPr="0041784B">
        <w:rPr>
          <w:rFonts w:ascii="Mangal" w:eastAsia="Times New Roman" w:hAnsi="Mangal" w:cs="Mangal"/>
          <w:b/>
          <w:bCs/>
          <w:szCs w:val="22"/>
          <w:cs/>
        </w:rPr>
        <w:t xml:space="preserve"> औसत</w:t>
      </w:r>
      <w:r w:rsidRPr="0041784B">
        <w:rPr>
          <w:rFonts w:ascii="Mangal" w:hAnsi="Mangal" w:cs="Mangal"/>
          <w:b/>
          <w:bCs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b/>
          <w:bCs/>
          <w:szCs w:val="22"/>
          <w:cs/>
        </w:rPr>
        <w:t>ऋण-जमा-अनुपात में अंतर</w:t>
      </w:r>
    </w:p>
    <w:p w:rsidR="00BB4164" w:rsidRPr="0041784B" w:rsidRDefault="00BB4164" w:rsidP="003940F3">
      <w:pPr>
        <w:spacing w:after="120" w:line="240" w:lineRule="auto"/>
        <w:jc w:val="both"/>
        <w:rPr>
          <w:rFonts w:ascii="Mangal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</w:rPr>
        <w:t>4044.</w:t>
      </w:r>
      <w:r w:rsidRPr="0041784B">
        <w:rPr>
          <w:rFonts w:ascii="Mangal" w:hAnsi="Mangal" w:cs="Mangal" w:hint="cs"/>
          <w:szCs w:val="22"/>
          <w:cs/>
        </w:rPr>
        <w:tab/>
      </w:r>
      <w:r w:rsidRPr="0041784B">
        <w:rPr>
          <w:rFonts w:ascii="Mangal" w:eastAsia="Times New Roman" w:hAnsi="Mangal" w:cs="Mangal"/>
          <w:szCs w:val="22"/>
          <w:cs/>
        </w:rPr>
        <w:t xml:space="preserve">श्री परिमल नथवानीः </w:t>
      </w:r>
    </w:p>
    <w:p w:rsidR="00BB4164" w:rsidRPr="0041784B" w:rsidRDefault="00BB4164" w:rsidP="00BB4164">
      <w:pPr>
        <w:spacing w:after="0" w:line="240" w:lineRule="auto"/>
        <w:ind w:firstLine="720"/>
        <w:jc w:val="both"/>
        <w:rPr>
          <w:rFonts w:ascii="Mangal" w:eastAsia="Times New Roman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  <w:cs/>
        </w:rPr>
        <w:t>क्या वित्त मंत्री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यह बताने की कृपा करेंगे किः</w:t>
      </w:r>
    </w:p>
    <w:p w:rsidR="00BB4164" w:rsidRPr="0041784B" w:rsidRDefault="00BB4164" w:rsidP="003940F3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क)</w:t>
      </w:r>
      <w:r w:rsidRPr="0041784B">
        <w:rPr>
          <w:rFonts w:ascii="Mangal" w:hAnsi="Mangal" w:cs="Mangal" w:hint="cs"/>
          <w:szCs w:val="22"/>
          <w:cs/>
        </w:rPr>
        <w:tab/>
      </w:r>
      <w:r w:rsidRPr="0041784B">
        <w:rPr>
          <w:rFonts w:ascii="Mangal" w:eastAsia="Times New Roman" w:hAnsi="Mangal" w:cs="Mangal"/>
          <w:szCs w:val="22"/>
          <w:cs/>
        </w:rPr>
        <w:t>वर्तमान वित्त वर्ष से दिसम्बर</w:t>
      </w:r>
      <w:r w:rsidRPr="0041784B">
        <w:rPr>
          <w:rFonts w:ascii="Mangal" w:eastAsia="Times New Roman" w:hAnsi="Mangal" w:cs="Mangal"/>
          <w:szCs w:val="22"/>
        </w:rPr>
        <w:t>, 2017</w:t>
      </w:r>
      <w:r w:rsidRPr="0041784B">
        <w:rPr>
          <w:rFonts w:ascii="Mangal" w:hAnsi="Mangal" w:cs="Mangal"/>
          <w:szCs w:val="22"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 xml:space="preserve">तक </w:t>
      </w:r>
      <w:r w:rsidR="003940F3" w:rsidRPr="0041784B">
        <w:rPr>
          <w:rFonts w:ascii="Mangal" w:hAnsi="Mangal" w:cs="Mangal"/>
          <w:szCs w:val="22"/>
          <w:cs/>
        </w:rPr>
        <w:t xml:space="preserve">की अवधि </w:t>
      </w:r>
      <w:r w:rsidRPr="0041784B">
        <w:rPr>
          <w:rFonts w:ascii="Mangal" w:eastAsia="Times New Roman" w:hAnsi="Mangal" w:cs="Mangal"/>
          <w:szCs w:val="22"/>
          <w:cs/>
        </w:rPr>
        <w:t>के दौरान सार्वजनिक क्षेत्र के बैंकों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पीएसबी) का औसत ऋण-जमा-अनुपात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सीडीआर) कितना रहा</w:t>
      </w:r>
      <w:r w:rsidRPr="0041784B">
        <w:rPr>
          <w:rFonts w:ascii="Mangal" w:eastAsia="Times New Roman" w:hAnsi="Mangal" w:cs="Mangal"/>
          <w:szCs w:val="22"/>
        </w:rPr>
        <w:t>;</w:t>
      </w:r>
    </w:p>
    <w:p w:rsidR="00BB4164" w:rsidRPr="0041784B" w:rsidRDefault="00BB4164" w:rsidP="003940F3">
      <w:pPr>
        <w:spacing w:after="0" w:line="240" w:lineRule="auto"/>
        <w:ind w:left="720" w:hanging="720"/>
        <w:jc w:val="both"/>
        <w:rPr>
          <w:rFonts w:ascii="Mangal" w:eastAsia="Times New Roman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ख)</w:t>
      </w:r>
      <w:r w:rsidRPr="0041784B">
        <w:rPr>
          <w:rFonts w:ascii="Mangal" w:hAnsi="Mangal" w:cs="Mangal" w:hint="cs"/>
          <w:szCs w:val="22"/>
          <w:cs/>
        </w:rPr>
        <w:tab/>
      </w:r>
      <w:r w:rsidRPr="0041784B">
        <w:rPr>
          <w:rFonts w:ascii="Mangal" w:eastAsia="Times New Roman" w:hAnsi="Mangal" w:cs="Mangal"/>
          <w:szCs w:val="22"/>
          <w:cs/>
        </w:rPr>
        <w:t>क्या देश के विभिन्न राज्यों/संघ राज्य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क्षेत्रों में सार्वजनिक क्षेत्र के बैंकों के औसत सीडीआर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में कोई अंतर है</w:t>
      </w:r>
      <w:r w:rsidRPr="0041784B">
        <w:rPr>
          <w:rFonts w:ascii="Mangal" w:eastAsia="Times New Roman" w:hAnsi="Mangal" w:cs="Mangal"/>
          <w:szCs w:val="22"/>
        </w:rPr>
        <w:t>;</w:t>
      </w:r>
    </w:p>
    <w:p w:rsidR="00BB4164" w:rsidRPr="0041784B" w:rsidRDefault="00BB4164" w:rsidP="00BC1FBC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ग)</w:t>
      </w:r>
      <w:r w:rsidRPr="0041784B">
        <w:rPr>
          <w:rFonts w:ascii="Mangal" w:hAnsi="Mangal" w:cs="Mangal" w:hint="cs"/>
          <w:szCs w:val="22"/>
          <w:cs/>
        </w:rPr>
        <w:tab/>
      </w:r>
      <w:r w:rsidRPr="0041784B">
        <w:rPr>
          <w:rFonts w:ascii="Mangal" w:eastAsia="Times New Roman" w:hAnsi="Mangal" w:cs="Mangal"/>
          <w:szCs w:val="22"/>
          <w:cs/>
        </w:rPr>
        <w:t>यदि हां</w:t>
      </w:r>
      <w:r w:rsidRPr="0041784B">
        <w:rPr>
          <w:rFonts w:ascii="Mangal" w:eastAsia="Times New Roman" w:hAnsi="Mangal" w:cs="Mangal"/>
          <w:szCs w:val="22"/>
        </w:rPr>
        <w:t xml:space="preserve">, </w:t>
      </w:r>
      <w:r w:rsidRPr="0041784B">
        <w:rPr>
          <w:rFonts w:ascii="Mangal" w:eastAsia="Times New Roman" w:hAnsi="Mangal" w:cs="Mangal"/>
          <w:szCs w:val="22"/>
          <w:cs/>
        </w:rPr>
        <w:t>तो झारखंड और गुजरात समेत</w:t>
      </w:r>
      <w:r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राज्य/स</w:t>
      </w:r>
      <w:r w:rsidR="00B91FDC" w:rsidRPr="0041784B">
        <w:rPr>
          <w:rFonts w:ascii="Mangal" w:hAnsi="Mangal" w:cs="Mangal"/>
          <w:szCs w:val="22"/>
          <w:cs/>
        </w:rPr>
        <w:t>ंघ राज्य क्षेत्र-वार तत्संबंधी</w:t>
      </w:r>
      <w:r w:rsidR="00BC1FBC" w:rsidRPr="0041784B">
        <w:rPr>
          <w:rFonts w:ascii="Mangal" w:hAnsi="Mangal" w:cs="Mangal" w:hint="cs"/>
          <w:szCs w:val="22"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ब्यौरा क्या है</w:t>
      </w:r>
      <w:r w:rsidRPr="0041784B">
        <w:rPr>
          <w:rFonts w:ascii="Mangal" w:eastAsia="Times New Roman" w:hAnsi="Mangal" w:cs="Mangal"/>
          <w:szCs w:val="22"/>
        </w:rPr>
        <w:t>;</w:t>
      </w:r>
      <w:r w:rsidR="003940F3" w:rsidRPr="0041784B">
        <w:rPr>
          <w:rFonts w:ascii="Mangal" w:hAnsi="Mangal" w:cs="Mangal"/>
          <w:szCs w:val="22"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और</w:t>
      </w:r>
    </w:p>
    <w:p w:rsidR="00D7300F" w:rsidRPr="0041784B" w:rsidRDefault="00BB4164" w:rsidP="003940F3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41784B">
        <w:rPr>
          <w:rFonts w:ascii="Mangal" w:eastAsia="Times New Roman" w:hAnsi="Mangal" w:cs="Mangal"/>
          <w:szCs w:val="22"/>
        </w:rPr>
        <w:t>(</w:t>
      </w:r>
      <w:r w:rsidRPr="0041784B">
        <w:rPr>
          <w:rFonts w:ascii="Mangal" w:eastAsia="Times New Roman" w:hAnsi="Mangal" w:cs="Mangal"/>
          <w:szCs w:val="22"/>
          <w:cs/>
        </w:rPr>
        <w:t>घ)</w:t>
      </w:r>
      <w:r w:rsidR="003940F3" w:rsidRPr="0041784B">
        <w:rPr>
          <w:rFonts w:ascii="Mangal" w:hAnsi="Mangal" w:cs="Mangal" w:hint="cs"/>
          <w:szCs w:val="22"/>
          <w:cs/>
        </w:rPr>
        <w:tab/>
      </w:r>
      <w:r w:rsidRPr="0041784B">
        <w:rPr>
          <w:rFonts w:ascii="Mangal" w:eastAsia="Times New Roman" w:hAnsi="Mangal" w:cs="Mangal"/>
          <w:szCs w:val="22"/>
          <w:cs/>
        </w:rPr>
        <w:t>ऋण परिनियोजन में क्षेत्रीय असंतुलनों</w:t>
      </w:r>
      <w:r w:rsidR="003940F3"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को न्यूनतम करने के लिए सरकार द्वारा क्या कदम</w:t>
      </w:r>
      <w:r w:rsidR="003940F3" w:rsidRPr="0041784B">
        <w:rPr>
          <w:rFonts w:ascii="Mangal" w:hAnsi="Mangal" w:cs="Mangal"/>
          <w:szCs w:val="22"/>
          <w:cs/>
        </w:rPr>
        <w:t xml:space="preserve"> </w:t>
      </w:r>
      <w:r w:rsidRPr="0041784B">
        <w:rPr>
          <w:rFonts w:ascii="Mangal" w:eastAsia="Times New Roman" w:hAnsi="Mangal" w:cs="Mangal"/>
          <w:szCs w:val="22"/>
          <w:cs/>
        </w:rPr>
        <w:t>उठाए गए हैं</w:t>
      </w:r>
      <w:r w:rsidR="00D7300F" w:rsidRPr="0041784B">
        <w:rPr>
          <w:rFonts w:ascii="Mangal" w:hAnsi="Mangal" w:cs="Mangal"/>
          <w:szCs w:val="22"/>
        </w:rPr>
        <w:t xml:space="preserve">?  </w:t>
      </w:r>
    </w:p>
    <w:p w:rsidR="00D7300F" w:rsidRPr="0041784B" w:rsidRDefault="00D7300F" w:rsidP="00D7300F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41784B">
        <w:rPr>
          <w:rFonts w:ascii="Mangal" w:hAnsi="Mangal" w:cs="Mangal"/>
          <w:b/>
          <w:bCs/>
          <w:szCs w:val="22"/>
          <w:cs/>
        </w:rPr>
        <w:t>उत्तर</w:t>
      </w:r>
    </w:p>
    <w:p w:rsidR="00D7300F" w:rsidRPr="0041784B" w:rsidRDefault="00D7300F" w:rsidP="00D7300F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Cs w:val="22"/>
        </w:rPr>
      </w:pPr>
      <w:r w:rsidRPr="0041784B">
        <w:rPr>
          <w:rFonts w:ascii="Mangal" w:hAnsi="Mangal" w:cs="Mangal"/>
          <w:szCs w:val="22"/>
          <w:cs/>
        </w:rPr>
        <w:t>वित्त मंत्रालय में राज्य मंत्री (श्री शिव प्रताप शुक्ल)</w:t>
      </w:r>
    </w:p>
    <w:p w:rsidR="00D7300F" w:rsidRPr="0041784B" w:rsidRDefault="00D7300F" w:rsidP="00D7300F">
      <w:pPr>
        <w:pStyle w:val="ListParagraph"/>
        <w:tabs>
          <w:tab w:val="left" w:pos="720"/>
        </w:tabs>
        <w:ind w:right="-85"/>
        <w:contextualSpacing w:val="0"/>
        <w:jc w:val="both"/>
        <w:rPr>
          <w:sz w:val="22"/>
          <w:szCs w:val="22"/>
        </w:rPr>
      </w:pPr>
      <w:r w:rsidRPr="0041784B">
        <w:rPr>
          <w:b/>
          <w:bCs/>
          <w:sz w:val="22"/>
          <w:szCs w:val="22"/>
          <w:cs/>
        </w:rPr>
        <w:t xml:space="preserve">(क) </w:t>
      </w:r>
      <w:r w:rsidR="00F15663" w:rsidRPr="0041784B">
        <w:rPr>
          <w:b/>
          <w:bCs/>
          <w:sz w:val="22"/>
          <w:szCs w:val="22"/>
          <w:cs/>
        </w:rPr>
        <w:t>से (ग</w:t>
      </w:r>
      <w:r w:rsidRPr="0041784B">
        <w:rPr>
          <w:b/>
          <w:bCs/>
          <w:sz w:val="22"/>
          <w:szCs w:val="22"/>
          <w:cs/>
        </w:rPr>
        <w:t>):</w:t>
      </w:r>
      <w:r w:rsidR="00F15663" w:rsidRPr="0041784B">
        <w:rPr>
          <w:sz w:val="22"/>
          <w:szCs w:val="22"/>
          <w:cs/>
        </w:rPr>
        <w:t xml:space="preserve"> भारतीय रिजर्व बैंक द्वारा दी गई सूचना के अनुसार दिसम्बर 2017 की समाप्ति पर सरकारी क्षेत्र के सभी बैंकों का कुल सीडी </w:t>
      </w:r>
      <w:r w:rsidR="000130DD" w:rsidRPr="0041784B">
        <w:rPr>
          <w:sz w:val="22"/>
          <w:szCs w:val="22"/>
          <w:cs/>
        </w:rPr>
        <w:t xml:space="preserve">अनुपात 69.56 रहा है। वर्ष 2017-18 के दौरान सरकारी क्षेत्र के बैंकों के सीडी अनुपात </w:t>
      </w:r>
      <w:r w:rsidR="004609D5">
        <w:rPr>
          <w:sz w:val="22"/>
          <w:szCs w:val="22"/>
          <w:cs/>
        </w:rPr>
        <w:t>का</w:t>
      </w:r>
      <w:r w:rsidR="000130DD" w:rsidRPr="0041784B">
        <w:rPr>
          <w:sz w:val="22"/>
          <w:szCs w:val="22"/>
          <w:cs/>
        </w:rPr>
        <w:t xml:space="preserve"> राज्य/संघ राज्य </w:t>
      </w:r>
      <w:r w:rsidR="00102F56" w:rsidRPr="0041784B">
        <w:rPr>
          <w:sz w:val="22"/>
          <w:szCs w:val="22"/>
          <w:cs/>
        </w:rPr>
        <w:t xml:space="preserve">क्षेत्र-वार (झारखंड और गुजरात सहित) दर्शाने वाला विवरण </w:t>
      </w:r>
      <w:r w:rsidR="00102F56" w:rsidRPr="0041784B">
        <w:rPr>
          <w:b/>
          <w:bCs/>
          <w:sz w:val="22"/>
          <w:szCs w:val="22"/>
          <w:cs/>
        </w:rPr>
        <w:t>अनुबंध</w:t>
      </w:r>
      <w:r w:rsidR="00102F56" w:rsidRPr="0041784B">
        <w:rPr>
          <w:sz w:val="22"/>
          <w:szCs w:val="22"/>
          <w:cs/>
        </w:rPr>
        <w:t xml:space="preserve"> में है। </w:t>
      </w:r>
    </w:p>
    <w:p w:rsidR="00102F56" w:rsidRPr="0041784B" w:rsidRDefault="0003259C" w:rsidP="00D7300F">
      <w:pPr>
        <w:pStyle w:val="ListParagraph"/>
        <w:tabs>
          <w:tab w:val="left" w:pos="720"/>
        </w:tabs>
        <w:ind w:right="-85"/>
        <w:contextualSpacing w:val="0"/>
        <w:jc w:val="both"/>
        <w:rPr>
          <w:sz w:val="22"/>
          <w:szCs w:val="22"/>
        </w:rPr>
      </w:pPr>
      <w:r w:rsidRPr="0041784B">
        <w:rPr>
          <w:b/>
          <w:bCs/>
          <w:sz w:val="22"/>
          <w:szCs w:val="22"/>
          <w:cs/>
        </w:rPr>
        <w:t>(घ):</w:t>
      </w:r>
      <w:r w:rsidRPr="0041784B">
        <w:rPr>
          <w:sz w:val="22"/>
          <w:szCs w:val="22"/>
          <w:cs/>
        </w:rPr>
        <w:t xml:space="preserve"> भारतीय रिजर्व बैंक (आरबीआई) ने पीएसबी सहित सभी बैंकों को अखिल भारतीय आधार पर अपनी ग्रामीण एवं अर्ध-शहरी शाखाओं के संबंध में अलग-अलग सीडीआर का 60</w:t>
      </w:r>
      <w:r w:rsidR="00566128" w:rsidRPr="0041784B">
        <w:rPr>
          <w:sz w:val="22"/>
          <w:szCs w:val="22"/>
        </w:rPr>
        <w:t>%</w:t>
      </w:r>
      <w:r w:rsidRPr="0041784B">
        <w:rPr>
          <w:sz w:val="22"/>
          <w:szCs w:val="22"/>
          <w:cs/>
        </w:rPr>
        <w:t xml:space="preserve"> प्राप्त करने की सलाह दी है। बैंकों को यह सुनिश्चित करना आवश्यक है कि </w:t>
      </w:r>
      <w:r w:rsidR="002613C3" w:rsidRPr="0041784B">
        <w:rPr>
          <w:sz w:val="22"/>
          <w:szCs w:val="22"/>
          <w:cs/>
        </w:rPr>
        <w:t xml:space="preserve">वे ऋण प्रदान करने में क्षेत्रीय असंतुलन को न्यूनतम करने के उद्देश्य से विभिन्न राज्यों/क्षेत्रों के बीच अनुपातों में व्यापक असमानताओं से बचें। </w:t>
      </w:r>
    </w:p>
    <w:p w:rsidR="00905966" w:rsidRPr="0041784B" w:rsidRDefault="00905966" w:rsidP="0041784B">
      <w:pPr>
        <w:pStyle w:val="ListParagraph"/>
        <w:tabs>
          <w:tab w:val="left" w:pos="720"/>
        </w:tabs>
        <w:spacing w:after="0"/>
        <w:ind w:right="-85"/>
        <w:contextualSpacing w:val="0"/>
        <w:jc w:val="both"/>
        <w:rPr>
          <w:sz w:val="22"/>
          <w:szCs w:val="22"/>
        </w:rPr>
      </w:pPr>
      <w:r w:rsidRPr="0041784B">
        <w:rPr>
          <w:rFonts w:hint="cs"/>
          <w:sz w:val="22"/>
          <w:szCs w:val="22"/>
          <w:cs/>
        </w:rPr>
        <w:tab/>
        <w:t xml:space="preserve">आरबीआई ने बैंकों को यह भी सलाह दी है कि सीडी अनुपात </w:t>
      </w:r>
      <w:r w:rsidR="004609D5">
        <w:rPr>
          <w:rFonts w:hint="cs"/>
          <w:sz w:val="22"/>
          <w:szCs w:val="22"/>
          <w:cs/>
        </w:rPr>
        <w:t>की</w:t>
      </w:r>
      <w:r w:rsidRPr="0041784B">
        <w:rPr>
          <w:rFonts w:hint="cs"/>
          <w:sz w:val="22"/>
          <w:szCs w:val="22"/>
          <w:cs/>
        </w:rPr>
        <w:t xml:space="preserve"> विभिन्न स्तरों अर्थात बैंक</w:t>
      </w:r>
      <w:r w:rsidR="004609D5">
        <w:rPr>
          <w:rFonts w:hint="cs"/>
          <w:sz w:val="22"/>
          <w:szCs w:val="22"/>
          <w:cs/>
        </w:rPr>
        <w:t>ों</w:t>
      </w:r>
      <w:r w:rsidRPr="0041784B">
        <w:rPr>
          <w:rFonts w:hint="cs"/>
          <w:sz w:val="22"/>
          <w:szCs w:val="22"/>
          <w:cs/>
        </w:rPr>
        <w:t xml:space="preserve"> के प्रधान कार्यालय</w:t>
      </w:r>
      <w:r w:rsidRPr="0041784B">
        <w:rPr>
          <w:rFonts w:hint="cs"/>
          <w:sz w:val="22"/>
          <w:szCs w:val="22"/>
        </w:rPr>
        <w:t xml:space="preserve">, </w:t>
      </w:r>
      <w:r w:rsidRPr="0041784B">
        <w:rPr>
          <w:rFonts w:hint="cs"/>
          <w:sz w:val="22"/>
          <w:szCs w:val="22"/>
          <w:cs/>
        </w:rPr>
        <w:t xml:space="preserve">राज्य स्तरीय बैंकर्स समिति (एसएलबीसी) और जिला </w:t>
      </w:r>
      <w:r w:rsidR="00566128" w:rsidRPr="0041784B">
        <w:rPr>
          <w:rFonts w:hint="cs"/>
          <w:sz w:val="22"/>
          <w:szCs w:val="22"/>
          <w:cs/>
        </w:rPr>
        <w:t xml:space="preserve">परामर्शदात्री समिति (डीसीसी) पर निगरानी की जानी चाहिए। सीडी अनुपात की निगरानी करने </w:t>
      </w:r>
      <w:r w:rsidR="00392C21" w:rsidRPr="0041784B">
        <w:rPr>
          <w:rFonts w:hint="cs"/>
          <w:sz w:val="22"/>
          <w:szCs w:val="22"/>
          <w:cs/>
        </w:rPr>
        <w:t xml:space="preserve">और सीडी अनुपात में वृद्धि करने के लिए निगरानी योग्य </w:t>
      </w:r>
      <w:r w:rsidR="004609D5">
        <w:rPr>
          <w:rFonts w:hint="cs"/>
          <w:sz w:val="22"/>
          <w:szCs w:val="22"/>
          <w:cs/>
        </w:rPr>
        <w:t>कार्य</w:t>
      </w:r>
      <w:r w:rsidR="00392C21" w:rsidRPr="0041784B">
        <w:rPr>
          <w:rFonts w:hint="cs"/>
          <w:sz w:val="22"/>
          <w:szCs w:val="22"/>
          <w:cs/>
        </w:rPr>
        <w:t xml:space="preserve"> योजना (एमएपी) तैयार करने के उद्देश्य से 40 से कम सीडी अनुपात वाले जिलों में डीसीसी की विशेष उप-समिति </w:t>
      </w:r>
      <w:r w:rsidR="0041784B" w:rsidRPr="0041784B">
        <w:rPr>
          <w:rFonts w:hint="cs"/>
          <w:sz w:val="22"/>
          <w:szCs w:val="22"/>
          <w:cs/>
        </w:rPr>
        <w:t xml:space="preserve">(एसएससी) स्थापित की जानी है। 20 से कम सीडी अनुपात वाले जिलों </w:t>
      </w:r>
      <w:r w:rsidR="00DE7634">
        <w:rPr>
          <w:rFonts w:hint="cs"/>
          <w:sz w:val="22"/>
          <w:szCs w:val="22"/>
          <w:cs/>
        </w:rPr>
        <w:t>पर</w:t>
      </w:r>
      <w:r w:rsidR="0041784B" w:rsidRPr="0041784B">
        <w:rPr>
          <w:rFonts w:hint="cs"/>
          <w:sz w:val="22"/>
          <w:szCs w:val="22"/>
          <w:cs/>
        </w:rPr>
        <w:t xml:space="preserve"> विशेष </w:t>
      </w:r>
      <w:r w:rsidR="00DE7634">
        <w:rPr>
          <w:rFonts w:hint="cs"/>
          <w:sz w:val="22"/>
          <w:szCs w:val="22"/>
          <w:cs/>
        </w:rPr>
        <w:t xml:space="preserve">ध्यान दिया जाता </w:t>
      </w:r>
      <w:r w:rsidR="0041784B" w:rsidRPr="0041784B">
        <w:rPr>
          <w:rFonts w:hint="cs"/>
          <w:sz w:val="22"/>
          <w:szCs w:val="22"/>
          <w:cs/>
        </w:rPr>
        <w:t xml:space="preserve">है। </w:t>
      </w:r>
      <w:r w:rsidR="00566128" w:rsidRPr="0041784B">
        <w:rPr>
          <w:rFonts w:hint="cs"/>
          <w:sz w:val="22"/>
          <w:szCs w:val="22"/>
          <w:cs/>
        </w:rPr>
        <w:t xml:space="preserve"> </w:t>
      </w:r>
    </w:p>
    <w:p w:rsidR="00A66018" w:rsidRDefault="00D7300F" w:rsidP="0041784B">
      <w:pPr>
        <w:spacing w:line="240" w:lineRule="auto"/>
        <w:jc w:val="center"/>
        <w:rPr>
          <w:rFonts w:ascii="Mangal" w:hAnsi="Mangal" w:cs="Mangal"/>
          <w:szCs w:val="22"/>
        </w:rPr>
      </w:pPr>
      <w:r w:rsidRPr="0041784B">
        <w:rPr>
          <w:rFonts w:ascii="Mangal" w:hAnsi="Mangal" w:cs="Mangal"/>
          <w:szCs w:val="22"/>
        </w:rPr>
        <w:t>*****</w:t>
      </w:r>
    </w:p>
    <w:tbl>
      <w:tblPr>
        <w:tblW w:w="8400" w:type="dxa"/>
        <w:tblInd w:w="94" w:type="dxa"/>
        <w:tblLook w:val="04A0"/>
      </w:tblPr>
      <w:tblGrid>
        <w:gridCol w:w="1392"/>
        <w:gridCol w:w="4872"/>
        <w:gridCol w:w="2136"/>
      </w:tblGrid>
      <w:tr w:rsidR="00A66018" w:rsidRPr="002D03B8" w:rsidTr="002F616E">
        <w:trPr>
          <w:trHeight w:val="2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018" w:rsidRPr="002D03B8" w:rsidRDefault="00A66018" w:rsidP="00F262F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szCs w:val="22"/>
              </w:rPr>
              <w:lastRenderedPageBreak/>
              <w:br w:type="page"/>
            </w:r>
            <w:r w:rsidR="002F616E"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अनुबंध</w:t>
            </w:r>
          </w:p>
        </w:tc>
      </w:tr>
      <w:tr w:rsidR="00A66018" w:rsidRPr="002D03B8" w:rsidTr="002F616E">
        <w:trPr>
          <w:trHeight w:val="20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A66018" w:rsidRPr="002D03B8" w:rsidRDefault="00D15C8E" w:rsidP="00AD1C6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दिसम्बर 2017 की समाप्ति पर सरकारी क्षेत्र के बैंकों </w:t>
            </w:r>
            <w:r w:rsidR="00AD1C6A"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का राज्य/संघ राज्य क्षेत्र-वार सीडी अनुपात 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018" w:rsidRPr="002D03B8" w:rsidRDefault="00F262F5" w:rsidP="00D7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क्रम सं.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A66018" w:rsidRPr="002D03B8" w:rsidRDefault="00AD1C6A" w:rsidP="00D73A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राज्य अथवा संघ राज्य क्षेत्र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A66018" w:rsidRPr="002D03B8" w:rsidRDefault="00F262F5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सीडी अनुपात 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AD1C6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अंडमान एवं निकोबार द्वीप समूह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40.22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AD1C6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आन्ध्र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106.71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AD1C6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अरुणाचल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29.85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AD1C6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असम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37.16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AD1C6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बिहार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27.37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चण्डीगढ़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129.20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छत्तीसगढ़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62.25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दादरा एवं नगर हवेली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32.96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दमन एवं दीव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22.71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गोवा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24.18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गुजरात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61.24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हरियाणा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60.24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हिमाचल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29.90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जम्मू एवं कश्मीर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29.04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झारखण्ड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25.01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कर्नाटक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71.11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केरल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61.21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लक्षद्वीप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8.84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मध्य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59.19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महाराष्ट्र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109.84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मणिपुर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53.00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मेघालय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28.06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मिजोरम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34.31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नागालैण्ड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41.49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राष्ट्रीय राजधानी क्षेत्र दिल्ली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82.92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ओडिशा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34.58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पुद्दुचेरी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50.75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पंजाब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57.64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राजस्थान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63.24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सिक्किम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31.24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तमिलनाडु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105.73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तेलंगाना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113.68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B20C7A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त्रिपुरा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31.50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3C1F2D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उत्तर प्रदेश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37.23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3C1F2D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उत्तराखण्ड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31.57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018" w:rsidRPr="00D73AF6" w:rsidRDefault="003C1F2D" w:rsidP="002F616E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D73AF6">
              <w:rPr>
                <w:rFonts w:ascii="Mangal" w:eastAsia="Times New Roman" w:hAnsi="Mangal" w:cs="Mangal"/>
                <w:sz w:val="18"/>
                <w:szCs w:val="18"/>
                <w:cs/>
              </w:rPr>
              <w:t xml:space="preserve">पश्चिम बंगाल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44.46</w:t>
            </w:r>
          </w:p>
        </w:tc>
      </w:tr>
      <w:tr w:rsidR="00AD1C6A" w:rsidRPr="002D03B8" w:rsidTr="002F616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A66018" w:rsidRPr="00D73AF6" w:rsidRDefault="00A66018" w:rsidP="002F616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</w:pPr>
            <w:r w:rsidRPr="00D73AF6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A66018" w:rsidRPr="002D03B8" w:rsidRDefault="003C1F2D" w:rsidP="002F616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 xml:space="preserve">अखिल भारत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66018" w:rsidRPr="002D03B8" w:rsidRDefault="00A66018" w:rsidP="00F262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</w:pPr>
            <w:r w:rsidRPr="002D03B8">
              <w:rPr>
                <w:rFonts w:ascii="Arial Narrow" w:eastAsia="Times New Roman" w:hAnsi="Arial Narrow" w:cs="Calibri"/>
                <w:b/>
                <w:bCs/>
                <w:sz w:val="18"/>
                <w:szCs w:val="18"/>
              </w:rPr>
              <w:t>69.56</w:t>
            </w:r>
          </w:p>
        </w:tc>
      </w:tr>
      <w:tr w:rsidR="00A66018" w:rsidRPr="002D03B8" w:rsidTr="002F616E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018" w:rsidRPr="002D03B8" w:rsidRDefault="00F262F5" w:rsidP="002F61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03B8">
              <w:rPr>
                <w:rFonts w:ascii="Mangal" w:eastAsia="Times New Roman" w:hAnsi="Mangal" w:cs="Mangal"/>
                <w:b/>
                <w:bCs/>
                <w:sz w:val="18"/>
                <w:szCs w:val="18"/>
                <w:cs/>
              </w:rPr>
              <w:t>स्रोत</w:t>
            </w:r>
            <w:r w:rsidR="00A66018" w:rsidRPr="002D03B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A66018" w:rsidRPr="002D03B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15C8E" w:rsidRPr="002D03B8">
              <w:rPr>
                <w:rFonts w:ascii="Mangal" w:eastAsia="Times New Roman" w:hAnsi="Mangal" w:cs="Mangal"/>
                <w:i/>
                <w:iCs/>
                <w:sz w:val="18"/>
                <w:szCs w:val="18"/>
                <w:cs/>
              </w:rPr>
              <w:t xml:space="preserve">वेबसाइट पर आरबीआई प्रकाशन </w:t>
            </w:r>
          </w:p>
        </w:tc>
      </w:tr>
    </w:tbl>
    <w:p w:rsidR="006030A4" w:rsidRPr="00BB4164" w:rsidRDefault="006030A4" w:rsidP="0041784B">
      <w:pPr>
        <w:spacing w:line="240" w:lineRule="auto"/>
        <w:jc w:val="center"/>
        <w:rPr>
          <w:rFonts w:ascii="Mangal" w:hAnsi="Mangal" w:cs="Mangal"/>
        </w:rPr>
      </w:pPr>
    </w:p>
    <w:sectPr w:rsidR="006030A4" w:rsidRPr="00BB4164" w:rsidSect="00603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300F"/>
    <w:rsid w:val="000130DD"/>
    <w:rsid w:val="0003259C"/>
    <w:rsid w:val="000B7F78"/>
    <w:rsid w:val="00102F56"/>
    <w:rsid w:val="00222F47"/>
    <w:rsid w:val="002613C3"/>
    <w:rsid w:val="00263EF1"/>
    <w:rsid w:val="002D03B8"/>
    <w:rsid w:val="002F616E"/>
    <w:rsid w:val="00355982"/>
    <w:rsid w:val="00392C21"/>
    <w:rsid w:val="003940F3"/>
    <w:rsid w:val="003C1F2D"/>
    <w:rsid w:val="0041784B"/>
    <w:rsid w:val="004609D5"/>
    <w:rsid w:val="00564BAD"/>
    <w:rsid w:val="00566128"/>
    <w:rsid w:val="005F590C"/>
    <w:rsid w:val="006030A4"/>
    <w:rsid w:val="00905966"/>
    <w:rsid w:val="009901C8"/>
    <w:rsid w:val="00A32621"/>
    <w:rsid w:val="00A66018"/>
    <w:rsid w:val="00AD1C6A"/>
    <w:rsid w:val="00B20C7A"/>
    <w:rsid w:val="00B91FDC"/>
    <w:rsid w:val="00BB4164"/>
    <w:rsid w:val="00BC1FBC"/>
    <w:rsid w:val="00D15C8E"/>
    <w:rsid w:val="00D7300F"/>
    <w:rsid w:val="00D73AF6"/>
    <w:rsid w:val="00DE7634"/>
    <w:rsid w:val="00F15663"/>
    <w:rsid w:val="00F2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0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0F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2018-04-02T07:26:00Z</cp:lastPrinted>
  <dcterms:created xsi:type="dcterms:W3CDTF">2018-04-02T11:04:00Z</dcterms:created>
  <dcterms:modified xsi:type="dcterms:W3CDTF">2018-04-02T11:04:00Z</dcterms:modified>
</cp:coreProperties>
</file>