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DD" w:rsidRPr="0085295F" w:rsidRDefault="00216BDD" w:rsidP="00216BDD">
      <w:pPr>
        <w:spacing w:after="0" w:line="240" w:lineRule="auto"/>
        <w:contextualSpacing/>
        <w:jc w:val="center"/>
        <w:rPr>
          <w:rFonts w:ascii="Mangal" w:hAnsi="Mangal"/>
          <w:b/>
          <w:bCs/>
          <w:szCs w:val="22"/>
        </w:rPr>
      </w:pPr>
      <w:r w:rsidRPr="0085295F">
        <w:rPr>
          <w:rFonts w:ascii="Mangal" w:hAnsi="Mangal" w:hint="cs"/>
          <w:b/>
          <w:bCs/>
          <w:szCs w:val="22"/>
          <w:cs/>
        </w:rPr>
        <w:t xml:space="preserve">भारत सरकार </w:t>
      </w:r>
    </w:p>
    <w:p w:rsidR="00216BDD" w:rsidRPr="0085295F" w:rsidRDefault="00216BDD" w:rsidP="00216BDD">
      <w:pPr>
        <w:spacing w:after="0" w:line="240" w:lineRule="auto"/>
        <w:contextualSpacing/>
        <w:jc w:val="center"/>
        <w:rPr>
          <w:rFonts w:ascii="Mangal" w:hAnsi="Mangal"/>
          <w:b/>
          <w:bCs/>
          <w:szCs w:val="22"/>
        </w:rPr>
      </w:pPr>
      <w:r w:rsidRPr="0085295F">
        <w:rPr>
          <w:rFonts w:ascii="Mangal" w:hAnsi="Mangal" w:hint="cs"/>
          <w:b/>
          <w:bCs/>
          <w:szCs w:val="22"/>
          <w:cs/>
        </w:rPr>
        <w:t>वित्‍त मंत्रालय</w:t>
      </w:r>
      <w:r w:rsidRPr="0085295F">
        <w:rPr>
          <w:rFonts w:ascii="Mangal" w:hAnsi="Mangal" w:hint="cs"/>
          <w:b/>
          <w:bCs/>
          <w:szCs w:val="22"/>
          <w:cs/>
        </w:rPr>
        <w:cr/>
        <w:t>राजस्‍व विभाग</w:t>
      </w:r>
    </w:p>
    <w:p w:rsidR="00216BDD" w:rsidRPr="0085295F" w:rsidRDefault="00216BDD" w:rsidP="00216BDD">
      <w:pPr>
        <w:spacing w:after="0" w:line="240" w:lineRule="auto"/>
        <w:contextualSpacing/>
        <w:jc w:val="center"/>
        <w:rPr>
          <w:rFonts w:ascii="Mangal" w:hAnsi="Mangal"/>
          <w:b/>
          <w:bCs/>
          <w:szCs w:val="22"/>
          <w:u w:val="single"/>
        </w:rPr>
      </w:pPr>
      <w:r w:rsidRPr="0085295F">
        <w:rPr>
          <w:rFonts w:ascii="Mangal" w:hAnsi="Mangal" w:hint="cs"/>
          <w:b/>
          <w:bCs/>
          <w:szCs w:val="22"/>
          <w:u w:val="single"/>
          <w:cs/>
        </w:rPr>
        <w:t>राज्‍य  सभा</w:t>
      </w:r>
    </w:p>
    <w:p w:rsidR="00216BDD" w:rsidRPr="0085295F" w:rsidRDefault="00216BDD" w:rsidP="00216BDD">
      <w:pPr>
        <w:spacing w:after="0" w:line="240" w:lineRule="auto"/>
        <w:contextualSpacing/>
        <w:jc w:val="center"/>
        <w:rPr>
          <w:rFonts w:ascii="Mangal" w:hAnsi="Mangal"/>
          <w:b/>
          <w:bCs/>
          <w:szCs w:val="22"/>
          <w:u w:val="single"/>
          <w:cs/>
        </w:rPr>
      </w:pPr>
      <w:r w:rsidRPr="0085295F">
        <w:rPr>
          <w:rFonts w:ascii="Mangal" w:hAnsi="Mangal" w:hint="cs"/>
          <w:b/>
          <w:bCs/>
          <w:szCs w:val="22"/>
          <w:u w:val="single"/>
          <w:cs/>
        </w:rPr>
        <w:t xml:space="preserve">अतारांकित प्रश्‍न सं. </w:t>
      </w:r>
      <w:r>
        <w:rPr>
          <w:rFonts w:ascii="Mangal" w:hAnsi="Mangal"/>
          <w:b/>
          <w:bCs/>
          <w:szCs w:val="22"/>
          <w:u w:val="single"/>
        </w:rPr>
        <w:t>13</w:t>
      </w:r>
      <w:r w:rsidR="00D45AB2">
        <w:rPr>
          <w:rFonts w:ascii="Mangal" w:hAnsi="Mangal" w:hint="cs"/>
          <w:b/>
          <w:bCs/>
          <w:szCs w:val="22"/>
          <w:u w:val="single"/>
          <w:cs/>
        </w:rPr>
        <w:t>66</w:t>
      </w:r>
    </w:p>
    <w:p w:rsidR="00216BDD" w:rsidRDefault="00216BDD" w:rsidP="00216BDD">
      <w:pPr>
        <w:spacing w:after="0" w:line="240" w:lineRule="auto"/>
        <w:contextualSpacing/>
        <w:jc w:val="center"/>
        <w:rPr>
          <w:rFonts w:ascii="Mangal" w:hAnsi="Mangal"/>
          <w:b/>
          <w:bCs/>
          <w:szCs w:val="22"/>
        </w:rPr>
      </w:pPr>
      <w:r w:rsidRPr="0085295F">
        <w:rPr>
          <w:rFonts w:ascii="Mangal" w:hAnsi="Mangal" w:hint="cs"/>
          <w:b/>
          <w:bCs/>
          <w:szCs w:val="22"/>
          <w:cs/>
        </w:rPr>
        <w:t xml:space="preserve">(जिसका उत्‍तर मंगलवार, </w:t>
      </w:r>
      <w:r>
        <w:rPr>
          <w:rFonts w:ascii="Mangal" w:hAnsi="Mangal"/>
          <w:b/>
          <w:bCs/>
          <w:szCs w:val="22"/>
        </w:rPr>
        <w:t xml:space="preserve">14 </w:t>
      </w:r>
      <w:r>
        <w:rPr>
          <w:rFonts w:ascii="Mangal" w:hAnsi="Mangal" w:hint="cs"/>
          <w:b/>
          <w:bCs/>
          <w:szCs w:val="22"/>
          <w:cs/>
        </w:rPr>
        <w:t>मार्च, 2017/ 23 फाल्गुन</w:t>
      </w:r>
      <w:r w:rsidRPr="0085295F">
        <w:rPr>
          <w:rFonts w:ascii="Mangal" w:hAnsi="Mangal" w:hint="cs"/>
          <w:b/>
          <w:bCs/>
          <w:szCs w:val="22"/>
          <w:cs/>
        </w:rPr>
        <w:t>, 1938 (शक) को दिया जाना है)</w:t>
      </w:r>
    </w:p>
    <w:p w:rsidR="00C40DD7" w:rsidRPr="00216BDD" w:rsidRDefault="00C40DD7" w:rsidP="00C40DD7">
      <w:pPr>
        <w:spacing w:after="0" w:line="240" w:lineRule="auto"/>
        <w:contextualSpacing/>
        <w:jc w:val="both"/>
        <w:rPr>
          <w:rFonts w:ascii="Mangal" w:hAnsi="Mangal"/>
          <w:szCs w:val="22"/>
        </w:rPr>
      </w:pPr>
    </w:p>
    <w:p w:rsidR="00C40DD7" w:rsidRPr="00216BDD" w:rsidRDefault="00C40DD7" w:rsidP="00216BDD">
      <w:pPr>
        <w:spacing w:after="0" w:line="240" w:lineRule="auto"/>
        <w:contextualSpacing/>
        <w:jc w:val="center"/>
        <w:rPr>
          <w:rFonts w:ascii="Mangal" w:hAnsi="Mangal"/>
          <w:b/>
          <w:bCs/>
          <w:szCs w:val="22"/>
          <w:u w:val="single"/>
        </w:rPr>
      </w:pPr>
      <w:r w:rsidRPr="00216BDD">
        <w:rPr>
          <w:rFonts w:ascii="Mangal" w:hAnsi="Mangal" w:cs="Mangal"/>
          <w:b/>
          <w:bCs/>
          <w:szCs w:val="22"/>
          <w:u w:val="single"/>
          <w:cs/>
        </w:rPr>
        <w:t>काले धन के प्रवाह पर रोक लगाया जाना</w:t>
      </w:r>
    </w:p>
    <w:p w:rsidR="00216BDD" w:rsidRDefault="00C40DD7" w:rsidP="00C40DD7">
      <w:pPr>
        <w:spacing w:after="0" w:line="240" w:lineRule="auto"/>
        <w:contextualSpacing/>
        <w:jc w:val="both"/>
        <w:rPr>
          <w:rFonts w:ascii="Mangal" w:hAnsi="Mangal" w:cs="Mangal"/>
          <w:b/>
          <w:bCs/>
          <w:szCs w:val="22"/>
        </w:rPr>
      </w:pPr>
      <w:r w:rsidRPr="00C40DD7">
        <w:rPr>
          <w:rFonts w:ascii="Mangal" w:hAnsi="Mangal"/>
          <w:b/>
          <w:bCs/>
          <w:szCs w:val="22"/>
        </w:rPr>
        <w:t xml:space="preserve">1366. </w:t>
      </w:r>
      <w:r w:rsidRPr="00C40DD7">
        <w:rPr>
          <w:rFonts w:ascii="Mangal" w:hAnsi="Mangal" w:cs="Mangal"/>
          <w:b/>
          <w:bCs/>
          <w:szCs w:val="22"/>
          <w:cs/>
        </w:rPr>
        <w:t>श्री नारायण लाल पंचारियाः</w:t>
      </w:r>
    </w:p>
    <w:p w:rsidR="00C40DD7" w:rsidRPr="00C40DD7" w:rsidRDefault="00C40DD7" w:rsidP="00216BDD">
      <w:pPr>
        <w:spacing w:after="0" w:line="240" w:lineRule="auto"/>
        <w:ind w:firstLine="720"/>
        <w:contextualSpacing/>
        <w:jc w:val="both"/>
        <w:rPr>
          <w:rFonts w:ascii="Mangal" w:hAnsi="Mangal"/>
          <w:b/>
          <w:bCs/>
          <w:szCs w:val="22"/>
        </w:rPr>
      </w:pPr>
      <w:r w:rsidRPr="00C40DD7">
        <w:rPr>
          <w:rFonts w:ascii="Mangal" w:hAnsi="Mangal" w:cs="Mangal"/>
          <w:b/>
          <w:bCs/>
          <w:szCs w:val="22"/>
          <w:cs/>
        </w:rPr>
        <w:t>क्या वित्त</w:t>
      </w:r>
      <w:r w:rsidR="00216BDD">
        <w:rPr>
          <w:rFonts w:ascii="Mangal" w:hAnsi="Mangal" w:hint="cs"/>
          <w:b/>
          <w:bCs/>
          <w:szCs w:val="22"/>
          <w:cs/>
        </w:rPr>
        <w:t xml:space="preserve"> </w:t>
      </w:r>
      <w:r w:rsidRPr="00C40DD7">
        <w:rPr>
          <w:rFonts w:ascii="Mangal" w:hAnsi="Mangal" w:cs="Mangal"/>
          <w:b/>
          <w:bCs/>
          <w:szCs w:val="22"/>
          <w:cs/>
        </w:rPr>
        <w:t>मंत्री यह बताने की कृपा करेंगे किः</w:t>
      </w:r>
    </w:p>
    <w:p w:rsidR="00C40DD7" w:rsidRPr="00216BDD" w:rsidRDefault="00C40DD7" w:rsidP="00216BDD">
      <w:pPr>
        <w:spacing w:after="0" w:line="240" w:lineRule="auto"/>
        <w:ind w:left="720" w:hanging="720"/>
        <w:contextualSpacing/>
        <w:jc w:val="both"/>
        <w:rPr>
          <w:rFonts w:ascii="Mangal" w:hAnsi="Mangal"/>
          <w:szCs w:val="22"/>
        </w:rPr>
      </w:pPr>
      <w:r w:rsidRPr="00216BDD">
        <w:rPr>
          <w:rFonts w:ascii="Mangal" w:hAnsi="Mangal"/>
          <w:szCs w:val="22"/>
        </w:rPr>
        <w:t>(</w:t>
      </w:r>
      <w:r w:rsidRPr="00216BDD">
        <w:rPr>
          <w:rFonts w:ascii="Mangal" w:hAnsi="Mangal" w:cs="Mangal"/>
          <w:szCs w:val="22"/>
          <w:cs/>
        </w:rPr>
        <w:t xml:space="preserve">क) </w:t>
      </w:r>
      <w:r w:rsidR="00216BDD">
        <w:rPr>
          <w:rFonts w:ascii="Mangal" w:hAnsi="Mangal" w:cs="Mangal" w:hint="cs"/>
          <w:szCs w:val="22"/>
          <w:cs/>
        </w:rPr>
        <w:tab/>
      </w:r>
      <w:r w:rsidRPr="00216BDD">
        <w:rPr>
          <w:rFonts w:ascii="Mangal" w:hAnsi="Mangal" w:cs="Mangal"/>
          <w:szCs w:val="22"/>
          <w:cs/>
        </w:rPr>
        <w:t>आय कर विभाग द्वारा गत तीन वर्षों के</w:t>
      </w:r>
      <w:r w:rsidR="00216BDD">
        <w:rPr>
          <w:rFonts w:ascii="Mangal" w:hAnsi="Mangal" w:hint="cs"/>
          <w:szCs w:val="22"/>
          <w:cs/>
        </w:rPr>
        <w:t xml:space="preserve"> </w:t>
      </w:r>
      <w:r w:rsidRPr="00216BDD">
        <w:rPr>
          <w:rFonts w:ascii="Mangal" w:hAnsi="Mangal" w:cs="Mangal"/>
          <w:szCs w:val="22"/>
          <w:cs/>
        </w:rPr>
        <w:t>दौरान घरेलू स्तर पर कितने कालेधन का पता लगाया</w:t>
      </w:r>
      <w:r w:rsidR="00216BDD">
        <w:rPr>
          <w:rFonts w:ascii="Mangal" w:hAnsi="Mangal" w:hint="cs"/>
          <w:szCs w:val="22"/>
          <w:cs/>
        </w:rPr>
        <w:t xml:space="preserve"> </w:t>
      </w:r>
      <w:r w:rsidRPr="00216BDD">
        <w:rPr>
          <w:rFonts w:ascii="Mangal" w:hAnsi="Mangal" w:cs="Mangal"/>
          <w:szCs w:val="22"/>
          <w:cs/>
        </w:rPr>
        <w:t>गया है</w:t>
      </w:r>
      <w:r w:rsidRPr="00216BDD">
        <w:rPr>
          <w:rFonts w:ascii="Mangal" w:hAnsi="Mangal"/>
          <w:szCs w:val="22"/>
        </w:rPr>
        <w:t>;</w:t>
      </w:r>
    </w:p>
    <w:p w:rsidR="00C40DD7" w:rsidRPr="00216BDD" w:rsidRDefault="00C40DD7" w:rsidP="00216BDD">
      <w:pPr>
        <w:spacing w:after="0" w:line="240" w:lineRule="auto"/>
        <w:ind w:left="720" w:hanging="720"/>
        <w:contextualSpacing/>
        <w:jc w:val="both"/>
        <w:rPr>
          <w:rFonts w:ascii="Mangal" w:hAnsi="Mangal"/>
          <w:szCs w:val="22"/>
        </w:rPr>
      </w:pPr>
      <w:r w:rsidRPr="00216BDD">
        <w:rPr>
          <w:rFonts w:ascii="Mangal" w:hAnsi="Mangal"/>
          <w:szCs w:val="22"/>
        </w:rPr>
        <w:t>(</w:t>
      </w:r>
      <w:r w:rsidRPr="00216BDD">
        <w:rPr>
          <w:rFonts w:ascii="Mangal" w:hAnsi="Mangal" w:cs="Mangal"/>
          <w:szCs w:val="22"/>
          <w:cs/>
        </w:rPr>
        <w:t xml:space="preserve">ख) </w:t>
      </w:r>
      <w:r w:rsidR="00216BDD">
        <w:rPr>
          <w:rFonts w:ascii="Mangal" w:hAnsi="Mangal" w:cs="Mangal" w:hint="cs"/>
          <w:szCs w:val="22"/>
          <w:cs/>
        </w:rPr>
        <w:tab/>
      </w:r>
      <w:r w:rsidRPr="00216BDD">
        <w:rPr>
          <w:rFonts w:ascii="Mangal" w:hAnsi="Mangal" w:cs="Mangal"/>
          <w:szCs w:val="22"/>
          <w:cs/>
        </w:rPr>
        <w:t>सरकार द्वारा काले धन के सोने और</w:t>
      </w:r>
      <w:r w:rsidR="00216BDD">
        <w:rPr>
          <w:rFonts w:ascii="Mangal" w:hAnsi="Mangal" w:hint="cs"/>
          <w:szCs w:val="22"/>
          <w:cs/>
        </w:rPr>
        <w:t xml:space="preserve"> </w:t>
      </w:r>
      <w:r w:rsidRPr="00216BDD">
        <w:rPr>
          <w:rFonts w:ascii="Mangal" w:hAnsi="Mangal" w:cs="Mangal"/>
          <w:szCs w:val="22"/>
          <w:cs/>
        </w:rPr>
        <w:t>रियल एस्टेट में प्रवाह पर रोक लगाने के लिए क्या</w:t>
      </w:r>
      <w:r w:rsidR="00216BDD">
        <w:rPr>
          <w:rFonts w:ascii="Mangal" w:hAnsi="Mangal" w:hint="cs"/>
          <w:szCs w:val="22"/>
          <w:cs/>
        </w:rPr>
        <w:t xml:space="preserve"> </w:t>
      </w:r>
      <w:r w:rsidRPr="00216BDD">
        <w:rPr>
          <w:rFonts w:ascii="Mangal" w:hAnsi="Mangal" w:cs="Mangal"/>
          <w:szCs w:val="22"/>
          <w:cs/>
        </w:rPr>
        <w:t>कदम उठाए गए हैं</w:t>
      </w:r>
      <w:r w:rsidRPr="00216BDD">
        <w:rPr>
          <w:rFonts w:ascii="Mangal" w:hAnsi="Mangal"/>
          <w:szCs w:val="22"/>
        </w:rPr>
        <w:t xml:space="preserve">; </w:t>
      </w:r>
      <w:r w:rsidRPr="00216BDD">
        <w:rPr>
          <w:rFonts w:ascii="Mangal" w:hAnsi="Mangal" w:cs="Mangal"/>
          <w:szCs w:val="22"/>
          <w:cs/>
        </w:rPr>
        <w:t>और</w:t>
      </w:r>
    </w:p>
    <w:p w:rsidR="00C40DD7" w:rsidRDefault="00C40DD7" w:rsidP="00216BDD">
      <w:pPr>
        <w:spacing w:after="0" w:line="240" w:lineRule="auto"/>
        <w:ind w:left="720" w:hanging="720"/>
        <w:contextualSpacing/>
        <w:jc w:val="both"/>
        <w:rPr>
          <w:rFonts w:ascii="Mangal" w:hAnsi="Mangal"/>
          <w:szCs w:val="22"/>
        </w:rPr>
      </w:pPr>
      <w:r w:rsidRPr="00216BDD">
        <w:rPr>
          <w:rFonts w:ascii="Mangal" w:hAnsi="Mangal"/>
          <w:szCs w:val="22"/>
        </w:rPr>
        <w:t>(</w:t>
      </w:r>
      <w:r w:rsidRPr="00216BDD">
        <w:rPr>
          <w:rFonts w:ascii="Mangal" w:hAnsi="Mangal" w:cs="Mangal"/>
          <w:szCs w:val="22"/>
          <w:cs/>
        </w:rPr>
        <w:t xml:space="preserve">ग) </w:t>
      </w:r>
      <w:r w:rsidR="00216BDD">
        <w:rPr>
          <w:rFonts w:ascii="Mangal" w:hAnsi="Mangal" w:cs="Mangal" w:hint="cs"/>
          <w:szCs w:val="22"/>
          <w:cs/>
        </w:rPr>
        <w:tab/>
      </w:r>
      <w:r w:rsidRPr="00216BDD">
        <w:rPr>
          <w:rFonts w:ascii="Mangal" w:hAnsi="Mangal" w:cs="Mangal"/>
          <w:szCs w:val="22"/>
          <w:cs/>
        </w:rPr>
        <w:t>क्या सरकार ने वित्तीय लेन-देन में</w:t>
      </w:r>
      <w:r w:rsidR="00216BDD">
        <w:rPr>
          <w:rFonts w:ascii="Mangal" w:hAnsi="Mangal" w:hint="cs"/>
          <w:szCs w:val="22"/>
          <w:cs/>
        </w:rPr>
        <w:t xml:space="preserve"> </w:t>
      </w:r>
      <w:r w:rsidRPr="00216BDD">
        <w:rPr>
          <w:rFonts w:ascii="Mangal" w:hAnsi="Mangal" w:cs="Mangal"/>
          <w:szCs w:val="22"/>
          <w:cs/>
        </w:rPr>
        <w:t>डिजिटल प्रौद्योगिकी के अत्यधिक प्रवेश को ध्यान</w:t>
      </w:r>
      <w:r w:rsidR="00216BDD">
        <w:rPr>
          <w:rFonts w:ascii="Mangal" w:hAnsi="Mangal" w:hint="cs"/>
          <w:szCs w:val="22"/>
          <w:cs/>
        </w:rPr>
        <w:t xml:space="preserve"> </w:t>
      </w:r>
      <w:r w:rsidRPr="00216BDD">
        <w:rPr>
          <w:rFonts w:ascii="Mangal" w:hAnsi="Mangal" w:cs="Mangal"/>
          <w:szCs w:val="22"/>
          <w:cs/>
        </w:rPr>
        <w:t>में रखते हुए आय कर विभाग के जांच और प्रवर्तन</w:t>
      </w:r>
      <w:r w:rsidR="00216BDD">
        <w:rPr>
          <w:rFonts w:ascii="Mangal" w:hAnsi="Mangal" w:hint="cs"/>
          <w:szCs w:val="22"/>
          <w:cs/>
        </w:rPr>
        <w:t xml:space="preserve"> </w:t>
      </w:r>
      <w:r w:rsidRPr="00216BDD">
        <w:rPr>
          <w:rFonts w:ascii="Mangal" w:hAnsi="Mangal" w:cs="Mangal"/>
          <w:szCs w:val="22"/>
          <w:cs/>
        </w:rPr>
        <w:t>स्कंधों में सामंजस्य स्थापित करने तथा इनके</w:t>
      </w:r>
      <w:r w:rsidR="00216BDD">
        <w:rPr>
          <w:rFonts w:ascii="Mangal" w:hAnsi="Mangal" w:hint="cs"/>
          <w:szCs w:val="22"/>
          <w:cs/>
        </w:rPr>
        <w:t xml:space="preserve"> </w:t>
      </w:r>
      <w:r w:rsidRPr="00216BDD">
        <w:rPr>
          <w:rFonts w:ascii="Mangal" w:hAnsi="Mangal" w:cs="Mangal"/>
          <w:szCs w:val="22"/>
          <w:cs/>
        </w:rPr>
        <w:t>स्तरोन्नयन हेतु कोई कदम उठाए हैं</w:t>
      </w:r>
      <w:r w:rsidRPr="00216BDD">
        <w:rPr>
          <w:rFonts w:ascii="Mangal" w:hAnsi="Mangal"/>
          <w:szCs w:val="22"/>
        </w:rPr>
        <w:t xml:space="preserve">, </w:t>
      </w:r>
      <w:r w:rsidRPr="00216BDD">
        <w:rPr>
          <w:rFonts w:ascii="Mangal" w:hAnsi="Mangal" w:cs="Mangal"/>
          <w:szCs w:val="22"/>
          <w:cs/>
        </w:rPr>
        <w:t>यदि हां</w:t>
      </w:r>
      <w:r w:rsidRPr="00216BDD">
        <w:rPr>
          <w:rFonts w:ascii="Mangal" w:hAnsi="Mangal"/>
          <w:szCs w:val="22"/>
        </w:rPr>
        <w:t xml:space="preserve">, </w:t>
      </w:r>
      <w:r w:rsidRPr="00216BDD">
        <w:rPr>
          <w:rFonts w:ascii="Mangal" w:hAnsi="Mangal" w:cs="Mangal"/>
          <w:szCs w:val="22"/>
          <w:cs/>
        </w:rPr>
        <w:t>तो</w:t>
      </w:r>
      <w:r w:rsidR="00216BDD">
        <w:rPr>
          <w:rFonts w:ascii="Mangal" w:hAnsi="Mangal" w:hint="cs"/>
          <w:szCs w:val="22"/>
          <w:cs/>
        </w:rPr>
        <w:t xml:space="preserve"> </w:t>
      </w:r>
      <w:r w:rsidRPr="00216BDD">
        <w:rPr>
          <w:rFonts w:ascii="Mangal" w:hAnsi="Mangal" w:cs="Mangal"/>
          <w:szCs w:val="22"/>
          <w:cs/>
        </w:rPr>
        <w:t>तत्संबंधी ब्यौरा क्या है और यदि नहीं</w:t>
      </w:r>
      <w:r w:rsidRPr="00216BDD">
        <w:rPr>
          <w:rFonts w:ascii="Mangal" w:hAnsi="Mangal"/>
          <w:szCs w:val="22"/>
        </w:rPr>
        <w:t xml:space="preserve">, </w:t>
      </w:r>
      <w:r w:rsidRPr="00216BDD">
        <w:rPr>
          <w:rFonts w:ascii="Mangal" w:hAnsi="Mangal" w:cs="Mangal"/>
          <w:szCs w:val="22"/>
          <w:cs/>
        </w:rPr>
        <w:t>तो इसके</w:t>
      </w:r>
      <w:r w:rsidR="00216BDD">
        <w:rPr>
          <w:rFonts w:ascii="Mangal" w:hAnsi="Mangal" w:hint="cs"/>
          <w:szCs w:val="22"/>
          <w:cs/>
        </w:rPr>
        <w:t xml:space="preserve"> </w:t>
      </w:r>
      <w:r w:rsidRPr="00216BDD">
        <w:rPr>
          <w:rFonts w:ascii="Mangal" w:hAnsi="Mangal" w:cs="Mangal"/>
          <w:szCs w:val="22"/>
          <w:cs/>
        </w:rPr>
        <w:t>क्या कारण हैं</w:t>
      </w:r>
      <w:r w:rsidRPr="00216BDD">
        <w:rPr>
          <w:rFonts w:ascii="Mangal" w:hAnsi="Mangal"/>
          <w:szCs w:val="22"/>
        </w:rPr>
        <w:t>?</w:t>
      </w:r>
    </w:p>
    <w:p w:rsidR="00216BDD" w:rsidRDefault="00216BDD" w:rsidP="00216BDD">
      <w:pPr>
        <w:spacing w:after="0"/>
        <w:jc w:val="center"/>
        <w:rPr>
          <w:rFonts w:ascii="Arial" w:hAnsi="Arial"/>
          <w:b/>
          <w:bCs/>
          <w:sz w:val="24"/>
          <w:szCs w:val="24"/>
        </w:rPr>
      </w:pPr>
    </w:p>
    <w:p w:rsidR="00216BDD" w:rsidRPr="00E47B1E" w:rsidRDefault="00216BDD" w:rsidP="00216BDD">
      <w:pPr>
        <w:spacing w:after="0"/>
        <w:jc w:val="center"/>
        <w:rPr>
          <w:rFonts w:ascii="Arial" w:hAnsi="Arial"/>
          <w:b/>
          <w:bCs/>
          <w:sz w:val="24"/>
          <w:szCs w:val="24"/>
          <w:cs/>
        </w:rPr>
      </w:pPr>
      <w:r w:rsidRPr="00E47B1E">
        <w:rPr>
          <w:rFonts w:ascii="Arial" w:hAnsi="Arial"/>
          <w:b/>
          <w:bCs/>
          <w:sz w:val="24"/>
          <w:szCs w:val="24"/>
          <w:cs/>
        </w:rPr>
        <w:t>उत्तर</w:t>
      </w:r>
    </w:p>
    <w:p w:rsidR="00216BDD" w:rsidRPr="0075542D" w:rsidRDefault="00216BDD" w:rsidP="00216BDD">
      <w:pPr>
        <w:jc w:val="center"/>
        <w:rPr>
          <w:rFonts w:ascii="Arial" w:hAnsi="Arial"/>
          <w:b/>
          <w:bCs/>
          <w:sz w:val="24"/>
          <w:szCs w:val="24"/>
          <w:u w:val="single"/>
        </w:rPr>
      </w:pPr>
      <w:r w:rsidRPr="00E47B1E">
        <w:rPr>
          <w:rFonts w:ascii="Arial" w:hAnsi="Arial"/>
          <w:b/>
          <w:bCs/>
          <w:sz w:val="24"/>
          <w:szCs w:val="24"/>
          <w:u w:val="single"/>
          <w:cs/>
        </w:rPr>
        <w:t xml:space="preserve">वित्त मंत्रालय में राज्य मंत्री (श्री संतोष </w:t>
      </w:r>
      <w:r w:rsidRPr="00E47B1E">
        <w:rPr>
          <w:rFonts w:ascii="Arial" w:hAnsi="Arial" w:hint="cs"/>
          <w:b/>
          <w:bCs/>
          <w:sz w:val="24"/>
          <w:szCs w:val="24"/>
          <w:u w:val="single"/>
          <w:cs/>
        </w:rPr>
        <w:t xml:space="preserve">कुमार </w:t>
      </w:r>
      <w:r w:rsidRPr="00E47B1E">
        <w:rPr>
          <w:rFonts w:ascii="Arial" w:hAnsi="Arial"/>
          <w:b/>
          <w:bCs/>
          <w:sz w:val="24"/>
          <w:szCs w:val="24"/>
          <w:u w:val="single"/>
          <w:cs/>
        </w:rPr>
        <w:t>गंगवार)</w:t>
      </w:r>
    </w:p>
    <w:p w:rsidR="00D45AB2" w:rsidRPr="00D45AB2" w:rsidRDefault="00D45AB2" w:rsidP="00D45AB2">
      <w:pPr>
        <w:spacing w:after="0"/>
        <w:ind w:left="720" w:hanging="720"/>
        <w:jc w:val="both"/>
        <w:rPr>
          <w:rFonts w:asciiTheme="majorBidi" w:hAnsiTheme="majorBidi" w:cstheme="majorBidi"/>
          <w:szCs w:val="22"/>
        </w:rPr>
      </w:pPr>
      <w:r w:rsidRPr="00D45AB2">
        <w:rPr>
          <w:rFonts w:asciiTheme="majorBidi" w:hAnsiTheme="majorBidi" w:cstheme="majorBidi"/>
          <w:szCs w:val="22"/>
          <w:cs/>
        </w:rPr>
        <w:t xml:space="preserve"> (क)</w:t>
      </w:r>
      <w:r w:rsidRPr="00D45AB2">
        <w:rPr>
          <w:rFonts w:asciiTheme="majorBidi" w:hAnsiTheme="majorBidi" w:cstheme="majorBidi"/>
          <w:szCs w:val="22"/>
          <w:cs/>
        </w:rPr>
        <w:tab/>
      </w:r>
      <w:r w:rsidRPr="00D45AB2">
        <w:rPr>
          <w:rFonts w:asciiTheme="majorBidi" w:hAnsiTheme="majorBidi" w:cstheme="majorBidi"/>
          <w:b/>
          <w:bCs/>
          <w:szCs w:val="22"/>
          <w:cs/>
        </w:rPr>
        <w:t>तलाशी और जब्ती</w:t>
      </w:r>
    </w:p>
    <w:tbl>
      <w:tblPr>
        <w:tblStyle w:val="TableGrid"/>
        <w:tblW w:w="0" w:type="auto"/>
        <w:tblInd w:w="720" w:type="dxa"/>
        <w:tblLook w:val="01E0"/>
      </w:tblPr>
      <w:tblGrid>
        <w:gridCol w:w="1908"/>
        <w:gridCol w:w="1440"/>
        <w:gridCol w:w="2340"/>
        <w:gridCol w:w="2952"/>
      </w:tblGrid>
      <w:tr w:rsidR="00D45AB2" w:rsidRPr="00D45AB2" w:rsidTr="007C7155">
        <w:trPr>
          <w:trHeight w:val="440"/>
        </w:trPr>
        <w:tc>
          <w:tcPr>
            <w:tcW w:w="1908"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वित्तीय वर्ष</w:t>
            </w:r>
          </w:p>
        </w:tc>
        <w:tc>
          <w:tcPr>
            <w:tcW w:w="1440"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तलाशी किए गए समूहों की संख्या</w:t>
            </w:r>
          </w:p>
        </w:tc>
        <w:tc>
          <w:tcPr>
            <w:tcW w:w="2340"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कुल जब्त परिसंपत्ति</w:t>
            </w:r>
          </w:p>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(करोड़ रुपए में)</w:t>
            </w:r>
          </w:p>
        </w:tc>
        <w:tc>
          <w:tcPr>
            <w:tcW w:w="2952"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आयकर अधिनियम, 1961 की धारा 132(4) के अंतर्गत स्वीकृत अघोषित आय (करोड़ रुपए में)</w:t>
            </w:r>
          </w:p>
        </w:tc>
      </w:tr>
      <w:tr w:rsidR="00D45AB2" w:rsidRPr="00D45AB2" w:rsidTr="007C7155">
        <w:trPr>
          <w:trHeight w:val="440"/>
        </w:trPr>
        <w:tc>
          <w:tcPr>
            <w:tcW w:w="190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2013-14</w:t>
            </w:r>
          </w:p>
        </w:tc>
        <w:tc>
          <w:tcPr>
            <w:tcW w:w="14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569</w:t>
            </w:r>
          </w:p>
        </w:tc>
        <w:tc>
          <w:tcPr>
            <w:tcW w:w="23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807.84</w:t>
            </w:r>
          </w:p>
        </w:tc>
        <w:tc>
          <w:tcPr>
            <w:tcW w:w="2952"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10791.63</w:t>
            </w:r>
          </w:p>
        </w:tc>
      </w:tr>
      <w:tr w:rsidR="00D45AB2" w:rsidRPr="00D45AB2" w:rsidTr="007C7155">
        <w:trPr>
          <w:trHeight w:val="440"/>
        </w:trPr>
        <w:tc>
          <w:tcPr>
            <w:tcW w:w="190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2014-15</w:t>
            </w:r>
          </w:p>
        </w:tc>
        <w:tc>
          <w:tcPr>
            <w:tcW w:w="14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545</w:t>
            </w:r>
          </w:p>
        </w:tc>
        <w:tc>
          <w:tcPr>
            <w:tcW w:w="23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761.70</w:t>
            </w:r>
          </w:p>
        </w:tc>
        <w:tc>
          <w:tcPr>
            <w:tcW w:w="2952"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10288.05</w:t>
            </w:r>
          </w:p>
        </w:tc>
      </w:tr>
      <w:tr w:rsidR="00D45AB2" w:rsidRPr="00D45AB2" w:rsidTr="007C7155">
        <w:trPr>
          <w:trHeight w:val="440"/>
        </w:trPr>
        <w:tc>
          <w:tcPr>
            <w:tcW w:w="190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2015-16</w:t>
            </w:r>
          </w:p>
        </w:tc>
        <w:tc>
          <w:tcPr>
            <w:tcW w:w="14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445</w:t>
            </w:r>
          </w:p>
        </w:tc>
        <w:tc>
          <w:tcPr>
            <w:tcW w:w="23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712.68</w:t>
            </w:r>
          </w:p>
        </w:tc>
        <w:tc>
          <w:tcPr>
            <w:tcW w:w="2952"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11066.24</w:t>
            </w:r>
          </w:p>
        </w:tc>
      </w:tr>
      <w:tr w:rsidR="00D45AB2" w:rsidRPr="00D45AB2" w:rsidTr="007C7155">
        <w:trPr>
          <w:trHeight w:val="440"/>
        </w:trPr>
        <w:tc>
          <w:tcPr>
            <w:tcW w:w="1908" w:type="dxa"/>
          </w:tcPr>
          <w:p w:rsidR="00D45AB2" w:rsidRPr="00D45AB2" w:rsidRDefault="00D45AB2" w:rsidP="00D45AB2">
            <w:pPr>
              <w:jc w:val="center"/>
              <w:rPr>
                <w:rFonts w:asciiTheme="majorBidi" w:hAnsiTheme="majorBidi" w:cstheme="majorBidi"/>
                <w:sz w:val="22"/>
                <w:szCs w:val="22"/>
              </w:rPr>
            </w:pPr>
            <w:r w:rsidRPr="00D45AB2">
              <w:rPr>
                <w:rFonts w:asciiTheme="majorBidi" w:hAnsiTheme="majorBidi" w:cstheme="majorBidi"/>
                <w:sz w:val="22"/>
                <w:szCs w:val="22"/>
                <w:cs/>
              </w:rPr>
              <w:t>2016-17 (दिसंबर, 2016 तक)</w:t>
            </w:r>
            <w:r w:rsidRPr="00D45AB2">
              <w:rPr>
                <w:rFonts w:asciiTheme="majorBidi" w:hAnsiTheme="majorBidi" w:cstheme="majorBidi"/>
                <w:sz w:val="22"/>
                <w:szCs w:val="22"/>
              </w:rPr>
              <w:t>*</w:t>
            </w:r>
          </w:p>
        </w:tc>
        <w:tc>
          <w:tcPr>
            <w:tcW w:w="14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848</w:t>
            </w:r>
          </w:p>
        </w:tc>
        <w:tc>
          <w:tcPr>
            <w:tcW w:w="23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1133.37</w:t>
            </w:r>
          </w:p>
        </w:tc>
        <w:tc>
          <w:tcPr>
            <w:tcW w:w="2952"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11856.62</w:t>
            </w:r>
          </w:p>
        </w:tc>
      </w:tr>
    </w:tbl>
    <w:p w:rsidR="00D45AB2" w:rsidRPr="00D45AB2" w:rsidRDefault="00D45AB2" w:rsidP="00D45AB2">
      <w:pPr>
        <w:spacing w:after="0"/>
        <w:ind w:left="720" w:hanging="720"/>
        <w:jc w:val="both"/>
        <w:rPr>
          <w:rFonts w:asciiTheme="majorBidi" w:hAnsiTheme="majorBidi" w:cstheme="majorBidi"/>
          <w:szCs w:val="22"/>
        </w:rPr>
      </w:pPr>
      <w:r w:rsidRPr="00D45AB2">
        <w:rPr>
          <w:rFonts w:asciiTheme="majorBidi" w:hAnsiTheme="majorBidi" w:cstheme="majorBidi"/>
          <w:szCs w:val="22"/>
        </w:rPr>
        <w:t>*</w:t>
      </w:r>
      <w:r w:rsidRPr="00D45AB2">
        <w:rPr>
          <w:rFonts w:asciiTheme="majorBidi" w:hAnsiTheme="majorBidi" w:cstheme="majorBidi"/>
          <w:szCs w:val="22"/>
        </w:rPr>
        <w:tab/>
      </w:r>
      <w:r w:rsidRPr="00D45AB2">
        <w:rPr>
          <w:rFonts w:asciiTheme="majorBidi" w:hAnsiTheme="majorBidi" w:cstheme="majorBidi"/>
          <w:szCs w:val="22"/>
          <w:cs/>
        </w:rPr>
        <w:t>आंकड़ें अनंतिम</w:t>
      </w:r>
    </w:p>
    <w:p w:rsidR="00D45AB2" w:rsidRDefault="00D45AB2">
      <w:pPr>
        <w:rPr>
          <w:rFonts w:asciiTheme="majorBidi" w:hAnsiTheme="majorBidi" w:cstheme="majorBidi"/>
          <w:szCs w:val="22"/>
          <w:cs/>
        </w:rPr>
      </w:pPr>
      <w:r>
        <w:rPr>
          <w:rFonts w:asciiTheme="majorBidi" w:hAnsiTheme="majorBidi" w:cstheme="majorBidi"/>
          <w:szCs w:val="22"/>
          <w:cs/>
        </w:rPr>
        <w:br w:type="page"/>
      </w:r>
    </w:p>
    <w:p w:rsidR="00D45AB2" w:rsidRPr="00D45AB2" w:rsidRDefault="00D45AB2" w:rsidP="00D45AB2">
      <w:pPr>
        <w:spacing w:after="0"/>
        <w:ind w:left="720" w:hanging="720"/>
        <w:jc w:val="both"/>
        <w:rPr>
          <w:rFonts w:asciiTheme="majorBidi" w:hAnsiTheme="majorBidi" w:cstheme="majorBidi"/>
          <w:szCs w:val="22"/>
        </w:rPr>
      </w:pPr>
    </w:p>
    <w:p w:rsidR="00D45AB2" w:rsidRPr="00D45AB2" w:rsidRDefault="00D45AB2" w:rsidP="00D45AB2">
      <w:pPr>
        <w:spacing w:after="0"/>
        <w:ind w:left="720" w:hanging="720"/>
        <w:jc w:val="both"/>
        <w:rPr>
          <w:rFonts w:asciiTheme="majorBidi" w:hAnsiTheme="majorBidi" w:cstheme="majorBidi"/>
          <w:b/>
          <w:bCs/>
          <w:szCs w:val="22"/>
        </w:rPr>
      </w:pPr>
      <w:r w:rsidRPr="00D45AB2">
        <w:rPr>
          <w:rFonts w:asciiTheme="majorBidi" w:hAnsiTheme="majorBidi" w:cstheme="majorBidi"/>
          <w:b/>
          <w:bCs/>
          <w:szCs w:val="22"/>
          <w:cs/>
        </w:rPr>
        <w:t>सर्वेक्षण</w:t>
      </w:r>
    </w:p>
    <w:tbl>
      <w:tblPr>
        <w:tblStyle w:val="TableGrid"/>
        <w:tblW w:w="0" w:type="auto"/>
        <w:tblInd w:w="720" w:type="dxa"/>
        <w:tblLook w:val="01E0"/>
      </w:tblPr>
      <w:tblGrid>
        <w:gridCol w:w="2160"/>
        <w:gridCol w:w="2988"/>
        <w:gridCol w:w="3240"/>
      </w:tblGrid>
      <w:tr w:rsidR="00D45AB2" w:rsidRPr="00D45AB2" w:rsidTr="007C7155">
        <w:trPr>
          <w:trHeight w:val="422"/>
        </w:trPr>
        <w:tc>
          <w:tcPr>
            <w:tcW w:w="2160"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वित्तीय वर्ष</w:t>
            </w:r>
          </w:p>
        </w:tc>
        <w:tc>
          <w:tcPr>
            <w:tcW w:w="2988"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कराए गए सर्वेक्षणों की संख्या</w:t>
            </w:r>
          </w:p>
        </w:tc>
        <w:tc>
          <w:tcPr>
            <w:tcW w:w="3240" w:type="dxa"/>
          </w:tcPr>
          <w:p w:rsidR="00D45AB2" w:rsidRPr="00D45AB2" w:rsidRDefault="00D45AB2" w:rsidP="00D45AB2">
            <w:pPr>
              <w:jc w:val="both"/>
              <w:rPr>
                <w:rFonts w:asciiTheme="majorBidi" w:hAnsiTheme="majorBidi" w:cstheme="majorBidi"/>
                <w:b/>
                <w:bCs/>
                <w:sz w:val="22"/>
                <w:szCs w:val="22"/>
              </w:rPr>
            </w:pPr>
            <w:r w:rsidRPr="00D45AB2">
              <w:rPr>
                <w:rFonts w:asciiTheme="majorBidi" w:hAnsiTheme="majorBidi" w:cstheme="majorBidi"/>
                <w:b/>
                <w:bCs/>
                <w:sz w:val="22"/>
                <w:szCs w:val="22"/>
                <w:cs/>
              </w:rPr>
              <w:t>पता लगी अघोषित आय (करोड़ रुपए में)</w:t>
            </w:r>
          </w:p>
        </w:tc>
      </w:tr>
      <w:tr w:rsidR="00D45AB2" w:rsidRPr="00D45AB2" w:rsidTr="007C7155">
        <w:trPr>
          <w:trHeight w:val="422"/>
        </w:trPr>
        <w:tc>
          <w:tcPr>
            <w:tcW w:w="216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2013-14</w:t>
            </w:r>
          </w:p>
        </w:tc>
        <w:tc>
          <w:tcPr>
            <w:tcW w:w="298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5327</w:t>
            </w:r>
          </w:p>
        </w:tc>
        <w:tc>
          <w:tcPr>
            <w:tcW w:w="32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90390.71</w:t>
            </w:r>
          </w:p>
        </w:tc>
      </w:tr>
      <w:tr w:rsidR="00D45AB2" w:rsidRPr="00D45AB2" w:rsidTr="007C7155">
        <w:trPr>
          <w:trHeight w:val="422"/>
        </w:trPr>
        <w:tc>
          <w:tcPr>
            <w:tcW w:w="216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2014-15</w:t>
            </w:r>
          </w:p>
        </w:tc>
        <w:tc>
          <w:tcPr>
            <w:tcW w:w="298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5035</w:t>
            </w:r>
          </w:p>
        </w:tc>
        <w:tc>
          <w:tcPr>
            <w:tcW w:w="32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12820.33</w:t>
            </w:r>
          </w:p>
        </w:tc>
      </w:tr>
      <w:tr w:rsidR="00D45AB2" w:rsidRPr="00D45AB2" w:rsidTr="007C7155">
        <w:trPr>
          <w:trHeight w:val="422"/>
        </w:trPr>
        <w:tc>
          <w:tcPr>
            <w:tcW w:w="216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2015-16</w:t>
            </w:r>
          </w:p>
        </w:tc>
        <w:tc>
          <w:tcPr>
            <w:tcW w:w="298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4422</w:t>
            </w:r>
          </w:p>
        </w:tc>
        <w:tc>
          <w:tcPr>
            <w:tcW w:w="32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9654.80</w:t>
            </w:r>
          </w:p>
        </w:tc>
      </w:tr>
      <w:tr w:rsidR="00D45AB2" w:rsidRPr="00D45AB2" w:rsidTr="007C7155">
        <w:trPr>
          <w:trHeight w:val="422"/>
        </w:trPr>
        <w:tc>
          <w:tcPr>
            <w:tcW w:w="2160" w:type="dxa"/>
          </w:tcPr>
          <w:p w:rsidR="00D45AB2" w:rsidRPr="00D45AB2" w:rsidRDefault="00D45AB2" w:rsidP="00D45AB2">
            <w:pPr>
              <w:jc w:val="center"/>
              <w:rPr>
                <w:rFonts w:asciiTheme="majorBidi" w:hAnsiTheme="majorBidi" w:cstheme="majorBidi"/>
                <w:sz w:val="22"/>
                <w:szCs w:val="22"/>
              </w:rPr>
            </w:pPr>
            <w:r w:rsidRPr="00D45AB2">
              <w:rPr>
                <w:rFonts w:asciiTheme="majorBidi" w:hAnsiTheme="majorBidi" w:cstheme="majorBidi"/>
                <w:sz w:val="22"/>
                <w:szCs w:val="22"/>
                <w:cs/>
              </w:rPr>
              <w:t>2016-17</w:t>
            </w:r>
          </w:p>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(दिसंबर, 2016 तक)</w:t>
            </w:r>
            <w:r w:rsidRPr="00D45AB2">
              <w:rPr>
                <w:rFonts w:asciiTheme="majorBidi" w:hAnsiTheme="majorBidi" w:cstheme="majorBidi"/>
                <w:sz w:val="22"/>
                <w:szCs w:val="22"/>
              </w:rPr>
              <w:t>*</w:t>
            </w:r>
          </w:p>
        </w:tc>
        <w:tc>
          <w:tcPr>
            <w:tcW w:w="2988"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5015</w:t>
            </w:r>
          </w:p>
        </w:tc>
        <w:tc>
          <w:tcPr>
            <w:tcW w:w="3240" w:type="dxa"/>
          </w:tcPr>
          <w:p w:rsidR="00D45AB2" w:rsidRPr="00D45AB2" w:rsidRDefault="00D45AB2" w:rsidP="00D45AB2">
            <w:pPr>
              <w:jc w:val="center"/>
              <w:rPr>
                <w:rFonts w:asciiTheme="majorBidi" w:hAnsiTheme="majorBidi" w:cstheme="majorBidi"/>
                <w:sz w:val="22"/>
                <w:szCs w:val="22"/>
                <w:cs/>
              </w:rPr>
            </w:pPr>
            <w:r w:rsidRPr="00D45AB2">
              <w:rPr>
                <w:rFonts w:asciiTheme="majorBidi" w:hAnsiTheme="majorBidi" w:cstheme="majorBidi"/>
                <w:sz w:val="22"/>
                <w:szCs w:val="22"/>
                <w:cs/>
              </w:rPr>
              <w:t>9454.47</w:t>
            </w:r>
          </w:p>
        </w:tc>
      </w:tr>
    </w:tbl>
    <w:p w:rsidR="00D45AB2" w:rsidRPr="00D45AB2" w:rsidRDefault="00D45AB2" w:rsidP="00D45AB2">
      <w:pPr>
        <w:spacing w:after="0"/>
        <w:ind w:left="720" w:hanging="720"/>
        <w:jc w:val="both"/>
        <w:rPr>
          <w:rFonts w:asciiTheme="majorBidi" w:hAnsiTheme="majorBidi" w:cstheme="majorBidi"/>
          <w:szCs w:val="22"/>
        </w:rPr>
      </w:pPr>
      <w:r w:rsidRPr="00D45AB2">
        <w:rPr>
          <w:rFonts w:asciiTheme="majorBidi" w:hAnsiTheme="majorBidi" w:cstheme="majorBidi"/>
          <w:szCs w:val="22"/>
        </w:rPr>
        <w:t>*</w:t>
      </w:r>
      <w:r w:rsidRPr="00D45AB2">
        <w:rPr>
          <w:rFonts w:asciiTheme="majorBidi" w:hAnsiTheme="majorBidi" w:cstheme="majorBidi"/>
          <w:szCs w:val="22"/>
        </w:rPr>
        <w:tab/>
      </w:r>
      <w:r w:rsidRPr="00D45AB2">
        <w:rPr>
          <w:rFonts w:asciiTheme="majorBidi" w:hAnsiTheme="majorBidi" w:cstheme="majorBidi"/>
          <w:szCs w:val="22"/>
          <w:cs/>
        </w:rPr>
        <w:t>आंकड़ें अनंतिम</w:t>
      </w:r>
    </w:p>
    <w:p w:rsidR="00D45AB2" w:rsidRPr="00D45AB2" w:rsidRDefault="00D45AB2" w:rsidP="00D45AB2">
      <w:pPr>
        <w:spacing w:after="0"/>
        <w:ind w:left="720" w:hanging="720"/>
        <w:jc w:val="both"/>
        <w:rPr>
          <w:rFonts w:asciiTheme="majorBidi" w:hAnsiTheme="majorBidi" w:cstheme="majorBidi"/>
          <w:szCs w:val="22"/>
        </w:rPr>
      </w:pP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cs/>
        </w:rPr>
        <w:t xml:space="preserve">इसके अलावा, आयकर घोषणा योजना, 2016 के अंतर्गत सरकार के पास 64,275 घोषणाएं की गई हैं, जिसमें 65,250 करोड़ रुपए की अघोषित आय की घोषणा की गई है। </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cs/>
        </w:rPr>
        <w:t>(ख)</w:t>
      </w:r>
      <w:r w:rsidRPr="00D45AB2">
        <w:rPr>
          <w:rFonts w:asciiTheme="majorBidi" w:hAnsiTheme="majorBidi" w:cstheme="majorBidi"/>
          <w:szCs w:val="22"/>
          <w:cs/>
        </w:rPr>
        <w:tab/>
        <w:t xml:space="preserve">काले धन के खिलाफ की जाने वाली कार्रवाई एक निरंतर चलने वाली प्रक्रिया है जिसमें कि सोने और भू-संपदा क्षेत्र में की जाने वाली कार्रवाई भी शामिल है। सरकार ने विगत हाल ही में भू-संपदा और आभूषण क्षेत्र से संबंधित कई उपाय किए हैं जोकि निम्नलिखित हैं </w:t>
      </w:r>
      <w:r w:rsidRPr="00D45AB2">
        <w:rPr>
          <w:rFonts w:asciiTheme="majorBidi" w:hAnsiTheme="majorBidi" w:cstheme="majorBidi"/>
          <w:szCs w:val="22"/>
        </w:rPr>
        <w:t>–</w:t>
      </w:r>
      <w:r w:rsidRPr="00D45AB2">
        <w:rPr>
          <w:rFonts w:asciiTheme="majorBidi" w:hAnsiTheme="majorBidi" w:cstheme="majorBidi"/>
          <w:szCs w:val="22"/>
          <w:cs/>
        </w:rPr>
        <w:t xml:space="preserve"> </w:t>
      </w:r>
    </w:p>
    <w:p w:rsidR="00D45AB2" w:rsidRPr="00D45AB2" w:rsidRDefault="00D45AB2" w:rsidP="00D45AB2">
      <w:pPr>
        <w:spacing w:after="0"/>
        <w:jc w:val="both"/>
        <w:rPr>
          <w:rFonts w:asciiTheme="majorBidi" w:hAnsiTheme="majorBidi" w:cstheme="majorBidi"/>
          <w:szCs w:val="22"/>
        </w:rPr>
      </w:pPr>
      <w:proofErr w:type="spellStart"/>
      <w:r w:rsidRPr="00D45AB2">
        <w:rPr>
          <w:rFonts w:asciiTheme="majorBidi" w:hAnsiTheme="majorBidi" w:cstheme="majorBidi"/>
          <w:szCs w:val="22"/>
        </w:rPr>
        <w:t>i</w:t>
      </w:r>
      <w:proofErr w:type="spellEnd"/>
      <w:r w:rsidRPr="00D45AB2">
        <w:rPr>
          <w:rFonts w:asciiTheme="majorBidi" w:hAnsiTheme="majorBidi" w:cstheme="majorBidi"/>
          <w:szCs w:val="22"/>
        </w:rPr>
        <w:t>.</w:t>
      </w:r>
      <w:r w:rsidRPr="00D45AB2">
        <w:rPr>
          <w:rFonts w:asciiTheme="majorBidi" w:hAnsiTheme="majorBidi" w:cstheme="majorBidi"/>
          <w:szCs w:val="22"/>
        </w:rPr>
        <w:tab/>
      </w:r>
      <w:r w:rsidRPr="00D45AB2">
        <w:rPr>
          <w:rFonts w:asciiTheme="majorBidi" w:hAnsiTheme="majorBidi" w:cstheme="majorBidi"/>
          <w:szCs w:val="22"/>
          <w:cs/>
        </w:rPr>
        <w:t>अगस्त 2016 में बेनामी संव्यवहार (निषेध) संशोधन अधिनियम, 2016 तैयार किया गया है जिसका उद्देश्य घरेलू काले धन की समस्या पर नियंत्रण रखना है और यह संशोधित कानून 01 नवंबर, 2016 से लागू भी हो गया है। इस अधिनियम में अन्य बातों के अलावा क्रियान्वयन प्राधिकारियों को विनिर्दिष्ट करने, उनको जांच कराने का अधिकार देने, अपीलीय तंत्र तैयार करने और जब्त परिसंपत्ति का प्रबंधन करने की व्यवस्था है। इस अधिनियम से बेनामी परिसंपत्ति को जब्त की जा सकती है और अभियोजन की कार्रवाई की जा सकती है। इससे इस प्रकार बेनामी परिसंपत्ति, विशेषकर भू-संपदा के क्षेत्र में, के रूप में कर अपवंचित धन को रखने के बड़े-बड़े रास्ते बंद हो जाएंगे।</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rPr>
        <w:t>ii</w:t>
      </w:r>
      <w:r w:rsidRPr="00D45AB2">
        <w:rPr>
          <w:rFonts w:asciiTheme="majorBidi" w:hAnsiTheme="majorBidi" w:cstheme="majorBidi"/>
          <w:szCs w:val="22"/>
          <w:cs/>
        </w:rPr>
        <w:t>.</w:t>
      </w:r>
      <w:r w:rsidRPr="00D45AB2">
        <w:rPr>
          <w:rFonts w:asciiTheme="majorBidi" w:hAnsiTheme="majorBidi" w:cstheme="majorBidi"/>
          <w:szCs w:val="22"/>
          <w:cs/>
        </w:rPr>
        <w:tab/>
        <w:t xml:space="preserve">घरेलू अचल परिसंपत्ति संव्यवहार में काले धन को नियंत्रित करने के लिए इस अधिनियम की धारा 269एसएस, </w:t>
      </w:r>
      <w:r w:rsidR="00123DF8">
        <w:rPr>
          <w:rFonts w:asciiTheme="majorBidi" w:hAnsiTheme="majorBidi" w:cstheme="majorBidi" w:hint="cs"/>
          <w:szCs w:val="22"/>
          <w:cs/>
        </w:rPr>
        <w:t xml:space="preserve">धारा 269टी, </w:t>
      </w:r>
      <w:r w:rsidRPr="00D45AB2">
        <w:rPr>
          <w:rFonts w:asciiTheme="majorBidi" w:hAnsiTheme="majorBidi" w:cstheme="majorBidi"/>
          <w:szCs w:val="22"/>
          <w:cs/>
        </w:rPr>
        <w:t>271डी और 271ई में संशोधन किया गया है जिससे अचल परिसंपत्ति के अंतरण के मामले में एकाउंट पेयी चैक या एकाउंट पेयी बैंक ड्राफ्ट या बैंक एकाउंट के माध्यम से इलेक्ट्रानिक क्लियरिंग सिस्टम के अलावा अन्य किसी भी प्रकार से यदि 20,000/- रु. या इससे अधिक की राशि का भुगतान अग्रिम रूप से स्वीकार किए जाने पर निषेध लग गया है और इसमें दण्ड का भी प्रावधान किया गया है।</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rPr>
        <w:t>iii.</w:t>
      </w:r>
      <w:r w:rsidRPr="00D45AB2">
        <w:rPr>
          <w:rFonts w:asciiTheme="majorBidi" w:hAnsiTheme="majorBidi" w:cstheme="majorBidi"/>
          <w:szCs w:val="22"/>
        </w:rPr>
        <w:tab/>
      </w:r>
      <w:r w:rsidRPr="00D45AB2">
        <w:rPr>
          <w:rFonts w:asciiTheme="majorBidi" w:hAnsiTheme="majorBidi" w:cstheme="majorBidi"/>
          <w:szCs w:val="22"/>
          <w:cs/>
        </w:rPr>
        <w:t>सरकार ने 01.01.2016 से उन ग्राहकों के लिए पैन कार्ड का उल्लेख करना अनिवार्य कर दिया है जो 2</w:t>
      </w:r>
      <w:proofErr w:type="gramStart"/>
      <w:r w:rsidRPr="00D45AB2">
        <w:rPr>
          <w:rFonts w:asciiTheme="majorBidi" w:hAnsiTheme="majorBidi" w:cstheme="majorBidi"/>
          <w:szCs w:val="22"/>
          <w:cs/>
        </w:rPr>
        <w:t>,00,000</w:t>
      </w:r>
      <w:proofErr w:type="gramEnd"/>
      <w:r w:rsidRPr="00D45AB2">
        <w:rPr>
          <w:rFonts w:asciiTheme="majorBidi" w:hAnsiTheme="majorBidi" w:cstheme="majorBidi"/>
          <w:szCs w:val="22"/>
          <w:cs/>
        </w:rPr>
        <w:t xml:space="preserve">/- रु. से अधिक के आभूषण की खरीद करते हैं इसके पहले यह सीमा 5,00,000/- रु. थी। </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rPr>
        <w:t>iv.</w:t>
      </w:r>
      <w:r w:rsidRPr="00D45AB2">
        <w:rPr>
          <w:rFonts w:asciiTheme="majorBidi" w:hAnsiTheme="majorBidi" w:cstheme="majorBidi"/>
          <w:szCs w:val="22"/>
          <w:cs/>
        </w:rPr>
        <w:t xml:space="preserve"> </w:t>
      </w:r>
      <w:r w:rsidRPr="00D45AB2">
        <w:rPr>
          <w:rFonts w:asciiTheme="majorBidi" w:hAnsiTheme="majorBidi" w:cstheme="majorBidi"/>
          <w:szCs w:val="22"/>
          <w:cs/>
        </w:rPr>
        <w:tab/>
        <w:t>अधिसूचना संख्या 95/2015 दिनांक 30.12.2015 को जारी करके आयकर नियमावली की धारा 114बी में उपयुक्त संशोधन कर दिया है जिसके दौरान 2</w:t>
      </w:r>
      <w:proofErr w:type="gramStart"/>
      <w:r w:rsidRPr="00D45AB2">
        <w:rPr>
          <w:rFonts w:asciiTheme="majorBidi" w:hAnsiTheme="majorBidi" w:cstheme="majorBidi"/>
          <w:szCs w:val="22"/>
          <w:cs/>
        </w:rPr>
        <w:t>,00,000</w:t>
      </w:r>
      <w:proofErr w:type="gramEnd"/>
      <w:r w:rsidRPr="00D45AB2">
        <w:rPr>
          <w:rFonts w:asciiTheme="majorBidi" w:hAnsiTheme="majorBidi" w:cstheme="majorBidi"/>
          <w:szCs w:val="22"/>
          <w:cs/>
        </w:rPr>
        <w:t xml:space="preserve">/- रु. से अधिक की किसी भी प्रकार के </w:t>
      </w:r>
      <w:r w:rsidRPr="00D45AB2">
        <w:rPr>
          <w:rFonts w:asciiTheme="majorBidi" w:hAnsiTheme="majorBidi" w:cstheme="majorBidi"/>
          <w:szCs w:val="22"/>
          <w:cs/>
        </w:rPr>
        <w:lastRenderedPageBreak/>
        <w:t>वस्तुओं या सेवाओं की बिक्री या खरीद के संव्यवहार में पैन का उल्लेख करना अनिवार्य बना दिया गया है।</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rPr>
        <w:t>v.</w:t>
      </w:r>
      <w:r w:rsidRPr="00D45AB2">
        <w:rPr>
          <w:rFonts w:asciiTheme="majorBidi" w:hAnsiTheme="majorBidi" w:cstheme="majorBidi"/>
          <w:szCs w:val="22"/>
        </w:rPr>
        <w:tab/>
      </w:r>
      <w:r w:rsidRPr="00D45AB2">
        <w:rPr>
          <w:rFonts w:asciiTheme="majorBidi" w:hAnsiTheme="majorBidi" w:cstheme="majorBidi"/>
          <w:szCs w:val="22"/>
          <w:cs/>
        </w:rPr>
        <w:t>नकद व्यवस्था को सीमित रखने के लिए वित्त विधेयक, 2017 के द्वारा इस अधिनियम में धारा 269एसटी और धारा 271डीए को जोड़ने का प्रस्ताव किया गया है। धारा 269एसटी में अन्य बातों के अलावा यह प्रावधान है कि कोई भी व्यक्ति 3</w:t>
      </w:r>
      <w:proofErr w:type="gramStart"/>
      <w:r w:rsidRPr="00D45AB2">
        <w:rPr>
          <w:rFonts w:asciiTheme="majorBidi" w:hAnsiTheme="majorBidi" w:cstheme="majorBidi"/>
          <w:szCs w:val="22"/>
          <w:cs/>
        </w:rPr>
        <w:t>,00,000</w:t>
      </w:r>
      <w:proofErr w:type="gramEnd"/>
      <w:r w:rsidRPr="00D45AB2">
        <w:rPr>
          <w:rFonts w:asciiTheme="majorBidi" w:hAnsiTheme="majorBidi" w:cstheme="majorBidi"/>
          <w:szCs w:val="22"/>
          <w:cs/>
        </w:rPr>
        <w:t xml:space="preserve">/- रु. या इससे अधिक की राशि, एकाउंट पेयी चैक या एकाउंट पेयी बैंक ड्राफ्ट या बैंक एकाउंट के माध्यम से इलेक्ट्रानिक क्लियरिंग सिस्टम के अलावा अन्य किसी भी प्रकार से </w:t>
      </w:r>
      <w:r w:rsidRPr="00D45AB2">
        <w:rPr>
          <w:rFonts w:asciiTheme="majorBidi" w:hAnsiTheme="majorBidi" w:cstheme="majorBidi"/>
          <w:szCs w:val="22"/>
        </w:rPr>
        <w:t>–</w:t>
      </w:r>
    </w:p>
    <w:p w:rsidR="00D45AB2" w:rsidRP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cs/>
        </w:rPr>
        <w:tab/>
      </w:r>
      <w:r w:rsidRPr="00D45AB2">
        <w:rPr>
          <w:rFonts w:asciiTheme="majorBidi" w:hAnsiTheme="majorBidi" w:cstheme="majorBidi"/>
          <w:szCs w:val="22"/>
        </w:rPr>
        <w:t>(</w:t>
      </w:r>
      <w:r w:rsidRPr="00D45AB2">
        <w:rPr>
          <w:rFonts w:asciiTheme="majorBidi" w:hAnsiTheme="majorBidi" w:cstheme="majorBidi"/>
          <w:szCs w:val="22"/>
          <w:cs/>
        </w:rPr>
        <w:t>क)</w:t>
      </w:r>
      <w:r w:rsidRPr="00D45AB2">
        <w:rPr>
          <w:rFonts w:asciiTheme="majorBidi" w:hAnsiTheme="majorBidi" w:cstheme="majorBidi"/>
          <w:szCs w:val="22"/>
          <w:cs/>
        </w:rPr>
        <w:tab/>
        <w:t>किसी एक व्यक्ति से एक दिन में एकमुश्त नहीं लेगा</w:t>
      </w:r>
      <w:r w:rsidRPr="00D45AB2">
        <w:rPr>
          <w:rFonts w:asciiTheme="majorBidi" w:hAnsiTheme="majorBidi" w:cstheme="majorBidi"/>
          <w:szCs w:val="22"/>
        </w:rPr>
        <w:t>;</w:t>
      </w:r>
    </w:p>
    <w:p w:rsidR="00D45AB2" w:rsidRPr="00D45AB2" w:rsidRDefault="00D45AB2" w:rsidP="00D45AB2">
      <w:pPr>
        <w:spacing w:after="0"/>
        <w:ind w:firstLine="720"/>
        <w:jc w:val="both"/>
        <w:rPr>
          <w:rFonts w:asciiTheme="majorBidi" w:hAnsiTheme="majorBidi" w:cstheme="majorBidi"/>
          <w:szCs w:val="22"/>
        </w:rPr>
      </w:pPr>
      <w:r w:rsidRPr="00D45AB2">
        <w:rPr>
          <w:rFonts w:asciiTheme="majorBidi" w:hAnsiTheme="majorBidi" w:cstheme="majorBidi"/>
          <w:szCs w:val="22"/>
          <w:cs/>
        </w:rPr>
        <w:t>(ख)</w:t>
      </w:r>
      <w:r w:rsidRPr="00D45AB2">
        <w:rPr>
          <w:rFonts w:asciiTheme="majorBidi" w:hAnsiTheme="majorBidi" w:cstheme="majorBidi"/>
          <w:szCs w:val="22"/>
          <w:cs/>
        </w:rPr>
        <w:tab/>
        <w:t>किसी एक ही संव्यवहार में नहीं लेगा</w:t>
      </w:r>
      <w:r w:rsidRPr="00D45AB2">
        <w:rPr>
          <w:rFonts w:asciiTheme="majorBidi" w:hAnsiTheme="majorBidi" w:cstheme="majorBidi"/>
          <w:szCs w:val="22"/>
        </w:rPr>
        <w:t>;</w:t>
      </w:r>
      <w:r w:rsidRPr="00D45AB2">
        <w:rPr>
          <w:rFonts w:asciiTheme="majorBidi" w:hAnsiTheme="majorBidi" w:cstheme="majorBidi"/>
          <w:szCs w:val="22"/>
          <w:cs/>
        </w:rPr>
        <w:t xml:space="preserve"> या</w:t>
      </w:r>
    </w:p>
    <w:p w:rsidR="00D45AB2" w:rsidRPr="00D45AB2" w:rsidRDefault="00D45AB2" w:rsidP="00D45AB2">
      <w:pPr>
        <w:spacing w:after="0"/>
        <w:ind w:left="1440" w:hanging="720"/>
        <w:jc w:val="both"/>
        <w:rPr>
          <w:rFonts w:asciiTheme="majorBidi" w:hAnsiTheme="majorBidi" w:cstheme="majorBidi"/>
          <w:szCs w:val="22"/>
        </w:rPr>
      </w:pPr>
      <w:r w:rsidRPr="00D45AB2">
        <w:rPr>
          <w:rFonts w:asciiTheme="majorBidi" w:hAnsiTheme="majorBidi" w:cstheme="majorBidi"/>
          <w:szCs w:val="22"/>
          <w:cs/>
        </w:rPr>
        <w:t>(ग)</w:t>
      </w:r>
      <w:r w:rsidRPr="00D45AB2">
        <w:rPr>
          <w:rFonts w:asciiTheme="majorBidi" w:hAnsiTheme="majorBidi" w:cstheme="majorBidi"/>
          <w:szCs w:val="22"/>
          <w:cs/>
        </w:rPr>
        <w:tab/>
        <w:t>किसी एक व्यक्ति से किसी एक घटना या अवसर से संबंधित संव्यवहार में नहीं लेगा।</w:t>
      </w:r>
    </w:p>
    <w:p w:rsidR="00D45AB2" w:rsidRDefault="00D45AB2" w:rsidP="00D45AB2">
      <w:pPr>
        <w:spacing w:after="0"/>
        <w:jc w:val="both"/>
        <w:rPr>
          <w:rFonts w:asciiTheme="majorBidi" w:hAnsiTheme="majorBidi" w:cstheme="majorBidi"/>
          <w:szCs w:val="22"/>
        </w:rPr>
      </w:pPr>
      <w:r w:rsidRPr="00D45AB2">
        <w:rPr>
          <w:rFonts w:asciiTheme="majorBidi" w:hAnsiTheme="majorBidi" w:cstheme="majorBidi"/>
          <w:szCs w:val="22"/>
          <w:cs/>
        </w:rPr>
        <w:t>इसके अलावा, धारा 271डीए में यह प्रावधान है कि ऐसे किसी व्यक्ति पर दण्ड लगाया जा सकता है जो प्रस्तावित धारा 269एसटी के उल्लंघन में कोई राशि प्राप्त करता है। यह दण्ड ऐसे प्राप्त राशि के बराबर लगाए जाने का प्रस्ताव  है।</w:t>
      </w:r>
    </w:p>
    <w:p w:rsidR="00D45AB2" w:rsidRPr="00D45AB2" w:rsidRDefault="00D45AB2" w:rsidP="00D45AB2">
      <w:pPr>
        <w:spacing w:after="0"/>
        <w:jc w:val="both"/>
        <w:rPr>
          <w:rFonts w:asciiTheme="majorBidi" w:hAnsiTheme="majorBidi" w:cstheme="majorBidi"/>
          <w:szCs w:val="22"/>
        </w:rPr>
      </w:pPr>
    </w:p>
    <w:p w:rsidR="00D45AB2" w:rsidRPr="00DE6F5D" w:rsidRDefault="00D45AB2" w:rsidP="00D45AB2">
      <w:pPr>
        <w:spacing w:after="0"/>
        <w:jc w:val="both"/>
        <w:rPr>
          <w:szCs w:val="24"/>
          <w:cs/>
        </w:rPr>
      </w:pPr>
      <w:r w:rsidRPr="00D45AB2">
        <w:rPr>
          <w:rFonts w:asciiTheme="majorBidi" w:hAnsiTheme="majorBidi" w:cstheme="majorBidi"/>
          <w:szCs w:val="22"/>
          <w:cs/>
        </w:rPr>
        <w:t>(ग)</w:t>
      </w:r>
      <w:r w:rsidRPr="00D45AB2">
        <w:rPr>
          <w:rFonts w:asciiTheme="majorBidi" w:hAnsiTheme="majorBidi" w:cstheme="majorBidi"/>
          <w:szCs w:val="22"/>
          <w:cs/>
        </w:rPr>
        <w:tab/>
        <w:t>जांच और प्रवर्तन विंग की जांच और प्रवर्तन क्षमता को बढ़ाना एक निरंतर चलने वाली प्रक्रिया है</w:t>
      </w:r>
      <w:r w:rsidRPr="00DE6F5D">
        <w:rPr>
          <w:rFonts w:hint="cs"/>
          <w:szCs w:val="24"/>
          <w:cs/>
        </w:rPr>
        <w:t>। हाल ही में इसमें न</w:t>
      </w:r>
      <w:r>
        <w:rPr>
          <w:rFonts w:hint="cs"/>
          <w:szCs w:val="24"/>
          <w:cs/>
        </w:rPr>
        <w:t>िम्नलिखित बातें शामिल की गई हैं- (</w:t>
      </w:r>
      <w:proofErr w:type="spellStart"/>
      <w:r>
        <w:rPr>
          <w:szCs w:val="24"/>
        </w:rPr>
        <w:t>i</w:t>
      </w:r>
      <w:proofErr w:type="spellEnd"/>
      <w:r>
        <w:rPr>
          <w:rFonts w:hint="cs"/>
          <w:szCs w:val="24"/>
          <w:cs/>
        </w:rPr>
        <w:t xml:space="preserve">) </w:t>
      </w:r>
      <w:r w:rsidRPr="00DE6F5D">
        <w:rPr>
          <w:rFonts w:hint="cs"/>
          <w:szCs w:val="24"/>
          <w:cs/>
        </w:rPr>
        <w:t>नॉन फाइलर्स मॉनिटरिंग सिस्टम (एनएमएस) जिससे कि उन नॉन फाइलर्स का पता लगाया जा सके जिनके बारे में विशेष जानक</w:t>
      </w:r>
      <w:r>
        <w:rPr>
          <w:rFonts w:hint="cs"/>
          <w:szCs w:val="24"/>
          <w:cs/>
        </w:rPr>
        <w:t>ारी आयकर विभाग के पास उपलब्ध है, (</w:t>
      </w:r>
      <w:r w:rsidRPr="00DE6F5D">
        <w:rPr>
          <w:szCs w:val="24"/>
        </w:rPr>
        <w:t>ii</w:t>
      </w:r>
      <w:r>
        <w:rPr>
          <w:rFonts w:hint="cs"/>
          <w:szCs w:val="24"/>
          <w:cs/>
        </w:rPr>
        <w:t xml:space="preserve">) </w:t>
      </w:r>
      <w:r w:rsidRPr="00DE6F5D">
        <w:rPr>
          <w:rFonts w:hint="cs"/>
          <w:szCs w:val="24"/>
          <w:cs/>
        </w:rPr>
        <w:t>आईटीबीए का क्रियान्वयन जिसके अंतर्गत आयकर विभाग के सभी वर्टिकल्स के एंड-टू-एंड प्रोसेस, जिसमें जांच विंग भी आती है, को सूचना प्रौद्योगिकी प्</w:t>
      </w:r>
      <w:r>
        <w:rPr>
          <w:rFonts w:hint="cs"/>
          <w:szCs w:val="24"/>
          <w:cs/>
        </w:rPr>
        <w:t>लेटफार्म के अंतर्गत लाया गया है, (</w:t>
      </w:r>
      <w:r>
        <w:rPr>
          <w:szCs w:val="24"/>
        </w:rPr>
        <w:t>iii</w:t>
      </w:r>
      <w:r>
        <w:rPr>
          <w:rFonts w:hint="cs"/>
          <w:szCs w:val="24"/>
          <w:cs/>
        </w:rPr>
        <w:t>)</w:t>
      </w:r>
      <w:r w:rsidRPr="00DE6F5D">
        <w:rPr>
          <w:rFonts w:hint="cs"/>
          <w:szCs w:val="24"/>
          <w:cs/>
        </w:rPr>
        <w:tab/>
        <w:t>प्रोजेक्</w:t>
      </w:r>
      <w:r w:rsidR="00123DF8">
        <w:rPr>
          <w:rFonts w:hint="cs"/>
          <w:szCs w:val="24"/>
          <w:cs/>
        </w:rPr>
        <w:t>ट अंतर्दृष्टि</w:t>
      </w:r>
      <w:r w:rsidRPr="00DE6F5D">
        <w:rPr>
          <w:rFonts w:hint="cs"/>
          <w:szCs w:val="24"/>
          <w:cs/>
        </w:rPr>
        <w:t xml:space="preserve"> का क्रियान्वयन जोकि एक मजबूत और व्यापक डाटा वेयर हाउसिंग</w:t>
      </w:r>
      <w:r>
        <w:rPr>
          <w:rFonts w:hint="cs"/>
          <w:szCs w:val="24"/>
          <w:cs/>
        </w:rPr>
        <w:t xml:space="preserve"> और बिजनेस इंटेलिजेंस सिस्टम है, (</w:t>
      </w:r>
      <w:r w:rsidRPr="00DE6F5D">
        <w:rPr>
          <w:szCs w:val="24"/>
        </w:rPr>
        <w:t>iv</w:t>
      </w:r>
      <w:r>
        <w:rPr>
          <w:rFonts w:hint="cs"/>
          <w:szCs w:val="24"/>
          <w:cs/>
        </w:rPr>
        <w:t xml:space="preserve">) </w:t>
      </w:r>
      <w:r w:rsidRPr="00DE6F5D">
        <w:rPr>
          <w:rFonts w:hint="cs"/>
          <w:szCs w:val="24"/>
          <w:cs/>
        </w:rPr>
        <w:t>सूचना संग्रहण प्रणाली को मजबूत और कारगर बनाना जिससे कि संव्यवहार के बड़े हिस्से को कवर किया जा सके जिसमें वस्तुओं और सेवाओं पर होने वाले व्यक्तिगत उपभोगपरक खर्च भी आते हैं।</w:t>
      </w:r>
    </w:p>
    <w:p w:rsidR="00D45AB2" w:rsidRDefault="00D45AB2" w:rsidP="00D45AB2">
      <w:pPr>
        <w:rPr>
          <w:szCs w:val="24"/>
        </w:rPr>
      </w:pPr>
    </w:p>
    <w:p w:rsidR="00D45AB2" w:rsidRPr="00D45AB2" w:rsidRDefault="00D45AB2" w:rsidP="00D45AB2">
      <w:pPr>
        <w:jc w:val="center"/>
        <w:rPr>
          <w:b/>
          <w:bCs/>
          <w:szCs w:val="24"/>
          <w:cs/>
        </w:rPr>
      </w:pPr>
      <w:r w:rsidRPr="00D45AB2">
        <w:rPr>
          <w:rFonts w:hint="cs"/>
          <w:b/>
          <w:bCs/>
          <w:szCs w:val="24"/>
          <w:cs/>
        </w:rPr>
        <w:t>******</w:t>
      </w:r>
    </w:p>
    <w:p w:rsidR="00216BDD" w:rsidRDefault="00216BDD" w:rsidP="00216BDD">
      <w:pPr>
        <w:rPr>
          <w:sz w:val="24"/>
          <w:szCs w:val="24"/>
          <w:cs/>
        </w:rPr>
      </w:pPr>
    </w:p>
    <w:p w:rsidR="00216BDD" w:rsidRPr="00216BDD" w:rsidRDefault="00216BDD" w:rsidP="00216BDD">
      <w:pPr>
        <w:spacing w:after="0" w:line="240" w:lineRule="auto"/>
        <w:ind w:left="720" w:hanging="720"/>
        <w:contextualSpacing/>
        <w:jc w:val="both"/>
        <w:rPr>
          <w:rFonts w:ascii="Mangal" w:hAnsi="Mangal"/>
          <w:szCs w:val="22"/>
          <w:cs/>
        </w:rPr>
      </w:pPr>
    </w:p>
    <w:sectPr w:rsidR="00216BDD" w:rsidRPr="00216BDD" w:rsidSect="00315207">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5295F"/>
    <w:rsid w:val="00123DF8"/>
    <w:rsid w:val="00185815"/>
    <w:rsid w:val="00216BDD"/>
    <w:rsid w:val="00315207"/>
    <w:rsid w:val="004773AC"/>
    <w:rsid w:val="004A73EC"/>
    <w:rsid w:val="004B7331"/>
    <w:rsid w:val="0054058C"/>
    <w:rsid w:val="005D0CE3"/>
    <w:rsid w:val="0075542D"/>
    <w:rsid w:val="00794B0A"/>
    <w:rsid w:val="0084245F"/>
    <w:rsid w:val="0085295F"/>
    <w:rsid w:val="009A16F4"/>
    <w:rsid w:val="00A93048"/>
    <w:rsid w:val="00B21502"/>
    <w:rsid w:val="00C40DD7"/>
    <w:rsid w:val="00C76484"/>
    <w:rsid w:val="00D26EEA"/>
    <w:rsid w:val="00D45AB2"/>
    <w:rsid w:val="00E851D5"/>
    <w:rsid w:val="00F44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73AC"/>
    <w:rPr>
      <w:color w:val="0000FF"/>
      <w:u w:val="single"/>
    </w:rPr>
  </w:style>
  <w:style w:type="table" w:styleId="TableGrid">
    <w:name w:val="Table Grid"/>
    <w:basedOn w:val="TableNormal"/>
    <w:rsid w:val="00D45AB2"/>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45AB2"/>
    <w:pPr>
      <w:spacing w:after="0" w:line="240" w:lineRule="auto"/>
    </w:pPr>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548D-2DAE-4EC2-8FE6-BABA9A80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19</cp:revision>
  <cp:lastPrinted>2017-03-10T13:08:00Z</cp:lastPrinted>
  <dcterms:created xsi:type="dcterms:W3CDTF">2017-03-10T06:07:00Z</dcterms:created>
  <dcterms:modified xsi:type="dcterms:W3CDTF">2017-03-14T06:05:00Z</dcterms:modified>
</cp:coreProperties>
</file>