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5F" w:rsidRDefault="0008385F" w:rsidP="0008385F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08385F" w:rsidRDefault="0008385F" w:rsidP="0008385F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स्‍वास्‍थ्‍य और परिवार कल्‍याण मंत्रालय</w:t>
      </w:r>
    </w:p>
    <w:p w:rsidR="0008385F" w:rsidRDefault="0008385F" w:rsidP="0008385F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स्‍वास्‍थ्‍य और परिवार कल्‍याण विभाग</w:t>
      </w:r>
    </w:p>
    <w:p w:rsidR="0008385F" w:rsidRDefault="0008385F" w:rsidP="0008385F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8385F" w:rsidRDefault="0008385F" w:rsidP="0008385F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08385F" w:rsidRDefault="0008385F" w:rsidP="0008385F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संख्‍या 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931</w:t>
      </w:r>
    </w:p>
    <w:p w:rsidR="00BB08B5" w:rsidRDefault="00BB08B5" w:rsidP="0008385F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8385F" w:rsidRDefault="0008385F" w:rsidP="0008385F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28</w:t>
      </w:r>
      <w:r w:rsidR="00DF6CA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जुलाई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2015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को पूछे जाने वाले प्रश्न का उत्तर</w:t>
      </w:r>
    </w:p>
    <w:p w:rsidR="00F51AAA" w:rsidRDefault="00F51AAA" w:rsidP="00FC45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महाराष्ट्र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में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="00FC45BE">
        <w:rPr>
          <w:rFonts w:ascii="Mangal" w:hAnsi="Mangal" w:cs="Mangal"/>
          <w:b/>
          <w:bCs/>
          <w:szCs w:val="22"/>
          <w:cs/>
        </w:rPr>
        <w:t>दवा-प्रतिरोधक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क्षय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रोग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मामले</w:t>
      </w:r>
    </w:p>
    <w:p w:rsidR="00FC45BE" w:rsidRPr="007729E6" w:rsidRDefault="00FC45BE" w:rsidP="00F51AA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FC45BE" w:rsidRDefault="00F51AAA" w:rsidP="00F51AA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8123E8">
        <w:rPr>
          <w:rFonts w:ascii="Mangal" w:hAnsi="Mangal" w:cs="Mangal"/>
          <w:b/>
          <w:bCs/>
          <w:sz w:val="24"/>
          <w:szCs w:val="24"/>
        </w:rPr>
        <w:t>931.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श्री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राजकुमार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="00FC45BE">
        <w:rPr>
          <w:rFonts w:ascii="Mangal" w:hAnsi="Mangal" w:cs="Mangal"/>
          <w:b/>
          <w:bCs/>
          <w:szCs w:val="22"/>
          <w:cs/>
        </w:rPr>
        <w:t>ध</w:t>
      </w:r>
      <w:r w:rsidR="00FC45BE">
        <w:rPr>
          <w:rFonts w:ascii="Mangal" w:hAnsi="Mangal" w:cs="Mangal" w:hint="cs"/>
          <w:b/>
          <w:bCs/>
          <w:szCs w:val="22"/>
          <w:cs/>
        </w:rPr>
        <w:t>ू</w:t>
      </w:r>
      <w:proofErr w:type="gramStart"/>
      <w:r w:rsidR="00FC45BE">
        <w:rPr>
          <w:rFonts w:ascii="Mangal" w:hAnsi="Mangal" w:cs="Mangal" w:hint="cs"/>
          <w:b/>
          <w:bCs/>
          <w:szCs w:val="22"/>
          <w:cs/>
        </w:rPr>
        <w:t xml:space="preserve">त </w:t>
      </w:r>
      <w:r w:rsidRPr="007729E6">
        <w:rPr>
          <w:rFonts w:ascii="Mangal" w:hAnsi="Mangal" w:cs="Mangal"/>
          <w:b/>
          <w:bCs/>
          <w:szCs w:val="22"/>
          <w:cs/>
        </w:rPr>
        <w:t>:</w:t>
      </w:r>
      <w:proofErr w:type="gramEnd"/>
    </w:p>
    <w:p w:rsidR="00FC45BE" w:rsidRDefault="00F51AAA" w:rsidP="00F51AA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</w:rPr>
        <w:t xml:space="preserve"> </w:t>
      </w:r>
    </w:p>
    <w:p w:rsidR="00F51AAA" w:rsidRDefault="00F51AAA" w:rsidP="00FC45BE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 w:rsidR="00FC45BE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परिवार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="00FC45BE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FC45BE">
        <w:rPr>
          <w:rFonts w:ascii="Mangal" w:hAnsi="Mangal" w:cs="Mangal"/>
          <w:b/>
          <w:bCs/>
          <w:szCs w:val="22"/>
          <w:cs/>
        </w:rPr>
        <w:t>मंत्री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बताने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कृपा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करेंगे</w:t>
      </w:r>
      <w:r w:rsidR="00FC45B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कि:</w:t>
      </w:r>
    </w:p>
    <w:p w:rsidR="00BB08B5" w:rsidRPr="007729E6" w:rsidRDefault="00BB08B5" w:rsidP="00FC45BE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Cs w:val="22"/>
        </w:rPr>
      </w:pPr>
    </w:p>
    <w:p w:rsidR="00F51AAA" w:rsidRDefault="00F51AAA" w:rsidP="00BB08B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महाराष्ट्र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देश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="00FC45B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अन्य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भागों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="00FC45BE">
        <w:rPr>
          <w:rFonts w:ascii="Mangal" w:hAnsi="Mangal" w:cs="Mangal"/>
          <w:szCs w:val="22"/>
          <w:cs/>
        </w:rPr>
        <w:t>दवा-प्रतिरो</w:t>
      </w:r>
      <w:r w:rsidR="00FC45BE">
        <w:rPr>
          <w:rFonts w:ascii="Mangal" w:hAnsi="Mangal" w:cs="Mangal" w:hint="cs"/>
          <w:szCs w:val="22"/>
          <w:cs/>
        </w:rPr>
        <w:t>धक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क्षय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रोग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विलंबित</w:t>
      </w:r>
      <w:r w:rsidR="00FC45B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मामलों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संख्या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तेजी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वृद्घि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रही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</w:p>
    <w:p w:rsidR="00FC45BE" w:rsidRPr="007729E6" w:rsidRDefault="00FC45BE" w:rsidP="00BB08B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F51AAA" w:rsidRDefault="00F51AAA" w:rsidP="00BB08B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तीन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वर्षों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दौरान</w:t>
      </w:r>
      <w:r w:rsidR="00FC45B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पंजीकृत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हुए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क्षय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रोग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ऐसे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मामलों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वर्ष-वार</w:t>
      </w:r>
      <w:r w:rsidRPr="007729E6">
        <w:rPr>
          <w:rFonts w:ascii="Mangal" w:hAnsi="Mangal" w:cs="Mangal"/>
          <w:szCs w:val="22"/>
        </w:rPr>
        <w:t>,</w:t>
      </w:r>
      <w:r w:rsidR="00FC45B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राज्य-वार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केन्द्र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शासित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प्रदेश-वार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ब्यौरा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="00FC45B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; </w:t>
      </w:r>
      <w:r w:rsidRPr="007729E6">
        <w:rPr>
          <w:rFonts w:ascii="Mangal" w:hAnsi="Mangal" w:cs="Mangal"/>
          <w:szCs w:val="22"/>
          <w:cs/>
        </w:rPr>
        <w:t>और</w:t>
      </w:r>
    </w:p>
    <w:p w:rsidR="00FC45BE" w:rsidRPr="007729E6" w:rsidRDefault="00FC45BE" w:rsidP="00BB08B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F51AAA" w:rsidRDefault="00F51AAA" w:rsidP="00BE7CA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ग)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महाराष्ट्र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देश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अन्य</w:t>
      </w:r>
      <w:r w:rsidR="00FC45B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भागों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="00BB08B5">
        <w:rPr>
          <w:rFonts w:ascii="Mangal" w:hAnsi="Mangal" w:cs="Mangal"/>
          <w:szCs w:val="22"/>
          <w:cs/>
        </w:rPr>
        <w:t>दवा-प्रतिरोध</w:t>
      </w:r>
      <w:r w:rsidR="00BB08B5">
        <w:rPr>
          <w:rFonts w:ascii="Times New Roman" w:hAnsi="Times New Roman" w:hint="cs"/>
          <w:szCs w:val="22"/>
          <w:cs/>
        </w:rPr>
        <w:t>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क्षय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रोग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मामलों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="00FC45B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प्रभावी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ढंग</w:t>
      </w:r>
      <w:r w:rsidR="00BE7CAA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निपटने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कौन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उपचारी</w:t>
      </w:r>
      <w:r w:rsidR="00FC45BE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उपाय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प्रस्ताव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?</w:t>
      </w:r>
    </w:p>
    <w:p w:rsidR="0063505B" w:rsidRDefault="0063505B" w:rsidP="0063505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Cs w:val="22"/>
        </w:rPr>
      </w:pPr>
    </w:p>
    <w:p w:rsidR="0063505B" w:rsidRPr="001F17E4" w:rsidRDefault="0063505B" w:rsidP="0063505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F17E4">
        <w:rPr>
          <w:rFonts w:ascii="Mangal" w:hAnsi="Mangal" w:cs="Mangal" w:hint="cs"/>
          <w:b/>
          <w:bCs/>
          <w:szCs w:val="22"/>
          <w:cs/>
        </w:rPr>
        <w:t>उत्‍तर</w:t>
      </w:r>
    </w:p>
    <w:p w:rsidR="0063505B" w:rsidRPr="001F17E4" w:rsidRDefault="00B204E1" w:rsidP="0063505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F17E4">
        <w:rPr>
          <w:rFonts w:ascii="Mangal" w:hAnsi="Mangal" w:cs="Mangal" w:hint="cs"/>
          <w:b/>
          <w:bCs/>
          <w:szCs w:val="22"/>
          <w:cs/>
        </w:rPr>
        <w:t>स्‍वास्‍थ्‍य एवं परिवार कल्‍याण राज्‍य मंत्री</w:t>
      </w:r>
      <w:r w:rsidR="003C06D4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CE1306">
        <w:rPr>
          <w:rFonts w:ascii="Mangal" w:hAnsi="Mangal" w:cs="Mangal" w:hint="cs"/>
          <w:b/>
          <w:bCs/>
          <w:szCs w:val="22"/>
          <w:cs/>
        </w:rPr>
        <w:t>(श्री श्रीपाद यसो नाई</w:t>
      </w:r>
      <w:bookmarkStart w:id="0" w:name="_GoBack"/>
      <w:bookmarkEnd w:id="0"/>
      <w:r w:rsidR="0063505B" w:rsidRPr="001F17E4">
        <w:rPr>
          <w:rFonts w:ascii="Mangal" w:hAnsi="Mangal" w:cs="Mangal" w:hint="cs"/>
          <w:b/>
          <w:bCs/>
          <w:szCs w:val="22"/>
          <w:cs/>
        </w:rPr>
        <w:t>क)</w:t>
      </w:r>
    </w:p>
    <w:p w:rsidR="00343570" w:rsidRDefault="00343570"/>
    <w:p w:rsidR="00CC7D63" w:rsidRDefault="00CC7D63" w:rsidP="00CC7D63">
      <w:pPr>
        <w:jc w:val="both"/>
        <w:rPr>
          <w:sz w:val="28"/>
          <w:szCs w:val="24"/>
        </w:rPr>
      </w:pPr>
      <w:r w:rsidRPr="00CC7D63">
        <w:rPr>
          <w:rFonts w:hint="cs"/>
          <w:sz w:val="28"/>
          <w:szCs w:val="24"/>
          <w:cs/>
        </w:rPr>
        <w:t>(क)</w:t>
      </w:r>
      <w:r w:rsidR="005F0047" w:rsidRPr="005F0047">
        <w:rPr>
          <w:cs/>
        </w:rPr>
        <w:t xml:space="preserve"> </w:t>
      </w:r>
      <w:r w:rsidR="005F0047" w:rsidRPr="005F0047">
        <w:rPr>
          <w:rFonts w:cs="Mangal"/>
          <w:sz w:val="28"/>
          <w:szCs w:val="24"/>
          <w:cs/>
        </w:rPr>
        <w:t>और</w:t>
      </w:r>
      <w:r w:rsidRPr="00CC7D63">
        <w:rPr>
          <w:rFonts w:hint="cs"/>
          <w:sz w:val="28"/>
          <w:szCs w:val="24"/>
          <w:cs/>
        </w:rPr>
        <w:t xml:space="preserve"> </w:t>
      </w:r>
      <w:r w:rsidR="005F0047" w:rsidRPr="005F0047">
        <w:rPr>
          <w:rFonts w:cs="Mangal"/>
          <w:sz w:val="28"/>
          <w:szCs w:val="24"/>
          <w:cs/>
        </w:rPr>
        <w:t>(ख)</w:t>
      </w:r>
      <w:r w:rsidRPr="00CC7D63">
        <w:rPr>
          <w:rFonts w:hint="cs"/>
          <w:sz w:val="28"/>
          <w:szCs w:val="24"/>
          <w:cs/>
        </w:rPr>
        <w:t xml:space="preserve">: </w:t>
      </w:r>
      <w:r>
        <w:rPr>
          <w:rFonts w:hint="cs"/>
          <w:sz w:val="28"/>
          <w:szCs w:val="24"/>
          <w:cs/>
        </w:rPr>
        <w:t>जी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नहीं। महाराष्‍ट्र और देश के अन्‍य भागों में </w:t>
      </w:r>
      <w:r w:rsidR="0052373B">
        <w:rPr>
          <w:rFonts w:hint="cs"/>
          <w:sz w:val="28"/>
          <w:szCs w:val="24"/>
          <w:cs/>
        </w:rPr>
        <w:t xml:space="preserve">मल्‍टी ड्रग रेजिस्‍टेंट टीबी </w:t>
      </w:r>
      <w:r>
        <w:rPr>
          <w:rFonts w:hint="cs"/>
          <w:sz w:val="28"/>
          <w:szCs w:val="24"/>
          <w:cs/>
        </w:rPr>
        <w:t>मामलों के अनुमानित अनुपात में वृद्धि नहीं हो रही है। उक्‍त अनुपात नए टीबी मामलों में 3 प्रतिशत और टीबी के पुन: उपचार</w:t>
      </w:r>
      <w:r w:rsidR="0052373B">
        <w:rPr>
          <w:rFonts w:hint="cs"/>
          <w:sz w:val="28"/>
          <w:szCs w:val="24"/>
          <w:cs/>
        </w:rPr>
        <w:t xml:space="preserve"> किए गए मामलों में 11-19 प्रतिशत के बीच </w:t>
      </w:r>
      <w:r>
        <w:rPr>
          <w:rFonts w:hint="cs"/>
          <w:sz w:val="28"/>
          <w:szCs w:val="24"/>
          <w:cs/>
        </w:rPr>
        <w:t xml:space="preserve"> है। देश में विगत तीन वर्षों के दौरान राज्‍यवार रिपोर्ट किए गए एमडीआर-टीबी की संख्‍या अनुलग्‍नक में है। </w:t>
      </w:r>
    </w:p>
    <w:p w:rsidR="00CC7D63" w:rsidRDefault="00CC7D63" w:rsidP="00CC7D63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  <w:t xml:space="preserve">वर्ष 2007और 2013 के बीच राष्‍ट्रीय संशोधित तपेदिक नियंत्रण कार्यक्रम (आरएनटीसीपी) के तहत एमडीआर टीबी के लिए अधिक नैदानिक सुविधाओं की उपलब्‍धता तथा </w:t>
      </w:r>
      <w:r>
        <w:rPr>
          <w:rFonts w:hint="cs"/>
          <w:sz w:val="28"/>
          <w:szCs w:val="24"/>
          <w:cs/>
        </w:rPr>
        <w:lastRenderedPageBreak/>
        <w:t xml:space="preserve">दवा प्रतिरोधक तपेदिक कार्यक्रम संबंधी </w:t>
      </w:r>
      <w:r w:rsidR="006C3946">
        <w:rPr>
          <w:rFonts w:hint="cs"/>
          <w:sz w:val="28"/>
          <w:szCs w:val="24"/>
          <w:cs/>
        </w:rPr>
        <w:t xml:space="preserve">प्रबंधन के माध्‍यम से पूरे देश </w:t>
      </w:r>
      <w:r w:rsidR="008B681A">
        <w:rPr>
          <w:rFonts w:hint="cs"/>
          <w:sz w:val="28"/>
          <w:szCs w:val="24"/>
          <w:cs/>
        </w:rPr>
        <w:t xml:space="preserve">को शामिल कर लेने </w:t>
      </w:r>
      <w:r w:rsidR="006C3946">
        <w:rPr>
          <w:rFonts w:hint="cs"/>
          <w:sz w:val="28"/>
          <w:szCs w:val="24"/>
          <w:cs/>
        </w:rPr>
        <w:t xml:space="preserve">के कारण एमडीआर-टीबी के मामलों की पहचान में वृद्धि हो रही है। </w:t>
      </w:r>
    </w:p>
    <w:p w:rsidR="0061068B" w:rsidRDefault="0061068B" w:rsidP="00CC7D63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(ग): भारत के सभी राज्‍यों और संघ राज्‍य क्षेत्रों मे संशोधित राष्‍ट्रीय तपेदिक नियंत्रण कार्यक्रम</w:t>
      </w:r>
      <w:r w:rsidR="00692420">
        <w:rPr>
          <w:rFonts w:hint="cs"/>
          <w:sz w:val="28"/>
          <w:szCs w:val="24"/>
          <w:cs/>
        </w:rPr>
        <w:t xml:space="preserve"> </w:t>
      </w:r>
      <w:r>
        <w:rPr>
          <w:rFonts w:hint="cs"/>
          <w:sz w:val="28"/>
          <w:szCs w:val="24"/>
          <w:cs/>
        </w:rPr>
        <w:t>में केन्‍द्र सरकार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राज्‍य सरकारों के सहयोग से दवा-प्रतिरोधक टीबी कार्यक्रम प्रबंधन हेतु सेवाएं प्रदान कर रहा है। </w:t>
      </w:r>
    </w:p>
    <w:p w:rsidR="0061068B" w:rsidRDefault="0061068B" w:rsidP="00CC7D63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पीएमडीटी कार्यान्‍वयन के प्रमुख घटक निम्‍नानुसार है: </w:t>
      </w:r>
    </w:p>
    <w:p w:rsidR="0061068B" w:rsidRDefault="0061068B" w:rsidP="0061068B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ग</w:t>
      </w:r>
      <w:r w:rsidR="00692420">
        <w:rPr>
          <w:rFonts w:hint="cs"/>
          <w:sz w:val="28"/>
          <w:szCs w:val="24"/>
          <w:cs/>
        </w:rPr>
        <w:t>ुणवत्‍ता आश्‍वासित कल्‍चर और औषधि के</w:t>
      </w:r>
      <w:r>
        <w:rPr>
          <w:rFonts w:hint="cs"/>
          <w:sz w:val="28"/>
          <w:szCs w:val="24"/>
          <w:cs/>
        </w:rPr>
        <w:t xml:space="preserve"> संवेदनशीलता परीक्षण</w:t>
      </w:r>
      <w:r w:rsidR="00692420">
        <w:rPr>
          <w:rFonts w:hint="cs"/>
          <w:sz w:val="28"/>
          <w:szCs w:val="24"/>
          <w:cs/>
        </w:rPr>
        <w:t xml:space="preserve"> </w:t>
      </w:r>
      <w:r>
        <w:rPr>
          <w:rFonts w:hint="cs"/>
          <w:sz w:val="28"/>
          <w:szCs w:val="24"/>
          <w:cs/>
        </w:rPr>
        <w:t xml:space="preserve">के माध्‍यम से सही समय पर निदान। </w:t>
      </w:r>
    </w:p>
    <w:p w:rsidR="0061068B" w:rsidRDefault="0061068B" w:rsidP="0061068B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पर्यवेक्षण के तहत सेकेंड लाइन औषधियों का उपयोग करते हुए उपयुक्‍त उपचार। </w:t>
      </w:r>
    </w:p>
    <w:p w:rsidR="0061068B" w:rsidRDefault="0061068B" w:rsidP="0061068B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गुणवत्‍ता आश्‍वासित टीबी प्रतिरोधी औषधियों की निरंतर आपूर्ति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और </w:t>
      </w:r>
    </w:p>
    <w:p w:rsidR="0061068B" w:rsidRDefault="0061068B" w:rsidP="0061068B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मानकीकृत रिकार्डिंग और रिपोर्टिंग प्रणाली। </w:t>
      </w:r>
    </w:p>
    <w:p w:rsidR="0061068B" w:rsidRDefault="00692420" w:rsidP="0061068B">
      <w:pPr>
        <w:ind w:left="360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आरएनटीसीपी के तहत औषधिरोधी टीबी </w:t>
      </w:r>
      <w:r w:rsidR="00B83CFC">
        <w:rPr>
          <w:rFonts w:hint="cs"/>
          <w:sz w:val="28"/>
          <w:szCs w:val="24"/>
          <w:cs/>
        </w:rPr>
        <w:t xml:space="preserve"> का निदान 62 कल्‍चर एंड ड्रग एसोप्टिबिलिटी टेस्टिंग लेब्रोरेटरी में गुणवत्‍ता आश्‍वासित औषधि ससेप्टिबिलीटी-परीक्षण के माध्‍यम से किया जाता है</w:t>
      </w:r>
      <w:r w:rsidR="00B83CFC">
        <w:rPr>
          <w:rFonts w:hint="cs"/>
          <w:sz w:val="28"/>
          <w:szCs w:val="24"/>
        </w:rPr>
        <w:t>,</w:t>
      </w:r>
      <w:r w:rsidR="00B83CFC">
        <w:rPr>
          <w:rFonts w:hint="cs"/>
          <w:sz w:val="28"/>
          <w:szCs w:val="24"/>
          <w:cs/>
        </w:rPr>
        <w:t xml:space="preserve"> जिनमें से 50 लैब लाइन प्रोब एसे नामक रैपिड मोलकुलर टेस्‍ट (सुविधा)से सज्जित हैं। </w:t>
      </w:r>
      <w:r w:rsidR="0061068B">
        <w:rPr>
          <w:rFonts w:hint="cs"/>
          <w:sz w:val="28"/>
          <w:szCs w:val="24"/>
          <w:cs/>
        </w:rPr>
        <w:t xml:space="preserve">कार्टिज्‍ड बेस्‍ड </w:t>
      </w:r>
      <w:r w:rsidR="00B83CFC">
        <w:rPr>
          <w:rFonts w:hint="cs"/>
          <w:sz w:val="28"/>
          <w:szCs w:val="24"/>
          <w:cs/>
        </w:rPr>
        <w:t xml:space="preserve">न्‍यूक्लिक एसिड </w:t>
      </w:r>
      <w:r w:rsidR="0061068B">
        <w:rPr>
          <w:rFonts w:hint="cs"/>
          <w:sz w:val="28"/>
          <w:szCs w:val="24"/>
          <w:cs/>
        </w:rPr>
        <w:t xml:space="preserve">एम्‍प्‍लीफिकेशन (सीबीएनएएटी) टेस्‍ट मशीनों को टीबी मामलों में </w:t>
      </w:r>
      <w:r w:rsidR="00B83CFC">
        <w:rPr>
          <w:rFonts w:hint="cs"/>
          <w:sz w:val="28"/>
          <w:szCs w:val="24"/>
          <w:cs/>
        </w:rPr>
        <w:t xml:space="preserve">रिफाम्‍पसिन </w:t>
      </w:r>
      <w:r w:rsidR="0061068B">
        <w:rPr>
          <w:rFonts w:hint="cs"/>
          <w:sz w:val="28"/>
          <w:szCs w:val="24"/>
          <w:cs/>
        </w:rPr>
        <w:t>प्रतिरोधी</w:t>
      </w:r>
      <w:r w:rsidR="00B83CFC">
        <w:rPr>
          <w:rFonts w:hint="cs"/>
          <w:sz w:val="28"/>
          <w:szCs w:val="24"/>
          <w:cs/>
        </w:rPr>
        <w:t xml:space="preserve"> का शीघ्र पता लगाने </w:t>
      </w:r>
      <w:r w:rsidR="0061068B">
        <w:rPr>
          <w:rFonts w:hint="cs"/>
          <w:sz w:val="28"/>
          <w:szCs w:val="24"/>
          <w:cs/>
        </w:rPr>
        <w:t xml:space="preserve">हेतु 121 स्‍थलों </w:t>
      </w:r>
      <w:r w:rsidR="00B83CFC">
        <w:rPr>
          <w:rFonts w:hint="cs"/>
          <w:sz w:val="28"/>
          <w:szCs w:val="24"/>
          <w:cs/>
        </w:rPr>
        <w:t>पर</w:t>
      </w:r>
      <w:r w:rsidR="0061068B">
        <w:rPr>
          <w:rFonts w:hint="cs"/>
          <w:sz w:val="28"/>
          <w:szCs w:val="24"/>
          <w:cs/>
        </w:rPr>
        <w:t xml:space="preserve"> स्‍थापित किया गया है। </w:t>
      </w:r>
    </w:p>
    <w:p w:rsidR="0061068B" w:rsidRDefault="00B83CFC" w:rsidP="003C06D4">
      <w:pPr>
        <w:ind w:left="360" w:firstLine="360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आरएनटीसीपी के तहत औषधि संवेदनशील और औषधि</w:t>
      </w:r>
      <w:r w:rsidR="0061068B">
        <w:rPr>
          <w:rFonts w:hint="cs"/>
          <w:sz w:val="28"/>
          <w:szCs w:val="24"/>
          <w:cs/>
        </w:rPr>
        <w:t xml:space="preserve"> प्रतिरोधी</w:t>
      </w:r>
      <w:r>
        <w:rPr>
          <w:rFonts w:hint="cs"/>
          <w:sz w:val="28"/>
          <w:szCs w:val="24"/>
          <w:cs/>
        </w:rPr>
        <w:t xml:space="preserve"> </w:t>
      </w:r>
      <w:r w:rsidR="0061068B">
        <w:rPr>
          <w:rFonts w:hint="cs"/>
          <w:sz w:val="28"/>
          <w:szCs w:val="24"/>
          <w:cs/>
        </w:rPr>
        <w:t>टीबी</w:t>
      </w:r>
      <w:r>
        <w:rPr>
          <w:rFonts w:hint="cs"/>
          <w:sz w:val="28"/>
          <w:szCs w:val="24"/>
          <w:cs/>
        </w:rPr>
        <w:t xml:space="preserve"> </w:t>
      </w:r>
      <w:r w:rsidR="0061068B">
        <w:rPr>
          <w:rFonts w:hint="cs"/>
          <w:sz w:val="28"/>
          <w:szCs w:val="24"/>
          <w:cs/>
        </w:rPr>
        <w:t xml:space="preserve">के लिए उपचार और निदान </w:t>
      </w:r>
      <w:r>
        <w:rPr>
          <w:rFonts w:hint="cs"/>
          <w:sz w:val="28"/>
          <w:szCs w:val="24"/>
          <w:cs/>
        </w:rPr>
        <w:t xml:space="preserve">दोनों </w:t>
      </w:r>
      <w:r w:rsidR="0061068B">
        <w:rPr>
          <w:rFonts w:hint="cs"/>
          <w:sz w:val="28"/>
          <w:szCs w:val="24"/>
          <w:cs/>
        </w:rPr>
        <w:t xml:space="preserve">नि:शुल्‍क हैं। </w:t>
      </w:r>
    </w:p>
    <w:p w:rsidR="007D726E" w:rsidRDefault="003C06D4" w:rsidP="003C06D4">
      <w:pPr>
        <w:ind w:left="360"/>
        <w:jc w:val="center"/>
        <w:rPr>
          <w:sz w:val="28"/>
          <w:szCs w:val="24"/>
          <w:cs/>
        </w:rPr>
      </w:pPr>
      <w:r>
        <w:rPr>
          <w:rFonts w:hint="cs"/>
          <w:sz w:val="28"/>
          <w:szCs w:val="24"/>
          <w:cs/>
        </w:rPr>
        <w:t>****</w:t>
      </w:r>
    </w:p>
    <w:p w:rsidR="007D726E" w:rsidRDefault="007D726E">
      <w:pPr>
        <w:rPr>
          <w:sz w:val="28"/>
          <w:szCs w:val="24"/>
          <w:cs/>
        </w:rPr>
      </w:pPr>
      <w:r>
        <w:rPr>
          <w:sz w:val="28"/>
          <w:szCs w:val="24"/>
          <w:cs/>
        </w:rPr>
        <w:br w:type="page"/>
      </w:r>
    </w:p>
    <w:p w:rsidR="007D726E" w:rsidRPr="007D726E" w:rsidRDefault="000B12BC" w:rsidP="007D726E">
      <w:pPr>
        <w:spacing w:line="240" w:lineRule="atLeast"/>
        <w:jc w:val="right"/>
        <w:rPr>
          <w:rFonts w:ascii="Calibri" w:eastAsia="Times New Roman" w:hAnsi="Calibri" w:cs="Times New Roman"/>
          <w:color w:val="000000"/>
          <w:szCs w:val="22"/>
        </w:rPr>
      </w:pPr>
      <w:r>
        <w:rPr>
          <w:rFonts w:ascii="Tahoma" w:eastAsia="Times New Roman" w:hAnsi="Tahoma" w:cs="Mangal"/>
          <w:b/>
          <w:bCs/>
          <w:color w:val="000000"/>
          <w:szCs w:val="22"/>
          <w:cs/>
        </w:rPr>
        <w:lastRenderedPageBreak/>
        <w:t>अनुलग्‍नक</w:t>
      </w:r>
      <w:r>
        <w:rPr>
          <w:rFonts w:ascii="Tahoma" w:eastAsia="Times New Roman" w:hAnsi="Tahoma" w:cs="Mangal" w:hint="cs"/>
          <w:b/>
          <w:bCs/>
          <w:color w:val="000000"/>
          <w:szCs w:val="22"/>
          <w:cs/>
        </w:rPr>
        <w:t xml:space="preserve"> </w:t>
      </w:r>
    </w:p>
    <w:tbl>
      <w:tblPr>
        <w:tblW w:w="8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889"/>
        <w:gridCol w:w="2256"/>
        <w:gridCol w:w="2678"/>
      </w:tblGrid>
      <w:tr w:rsidR="007D726E" w:rsidRPr="007D726E" w:rsidTr="007D726E">
        <w:trPr>
          <w:trHeight w:val="22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7D726E" w:rsidRPr="007D726E" w:rsidRDefault="007D726E" w:rsidP="00EC48D9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able01"/>
            <w:bookmarkEnd w:id="1"/>
            <w:r w:rsidRPr="007D726E">
              <w:rPr>
                <w:rFonts w:ascii="Tahoma" w:eastAsia="Times New Roman" w:hAnsi="Tahoma" w:cs="Mangal"/>
                <w:b/>
                <w:bCs/>
                <w:sz w:val="24"/>
                <w:szCs w:val="24"/>
                <w:cs/>
              </w:rPr>
              <w:t>आरएनटीसीपी के तहत पंजीकृत दवा प्रतिरोधी टीबी के मामलों की संख्</w:t>
            </w:r>
            <w:r w:rsidR="00EC48D9">
              <w:rPr>
                <w:rFonts w:ascii="Tahoma" w:eastAsia="Times New Roman" w:hAnsi="Tahoma" w:cs="Mangal"/>
                <w:b/>
                <w:bCs/>
                <w:sz w:val="24"/>
                <w:szCs w:val="24"/>
                <w:cs/>
              </w:rPr>
              <w:t>या (राज्य-केन्द्र शासित प्रदेश</w:t>
            </w:r>
            <w:r w:rsidR="00EC48D9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</w:rPr>
              <w:t>-वार</w:t>
            </w:r>
            <w:r w:rsidRPr="007D726E">
              <w:rPr>
                <w:rFonts w:ascii="Tahoma" w:eastAsia="Times New Roman" w:hAnsi="Tahoma" w:cs="Mangal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b/>
                <w:bCs/>
                <w:sz w:val="24"/>
                <w:szCs w:val="24"/>
                <w:cs/>
              </w:rPr>
              <w:t>राज्य / केंद्र शासित प्रदेशों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2014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अंडमान एवं निकोबार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1228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1625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803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अरुणाचल प्रदेश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122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172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206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असम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179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388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360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बिहार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118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527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970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चंडीगढ़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62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छत्तीसगढ़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125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141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दिल्ली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1653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1278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1572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गोवा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42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36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गुजरात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1710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1660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1971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Mangal"/>
                <w:sz w:val="24"/>
                <w:szCs w:val="24"/>
                <w:cs/>
              </w:rPr>
              <w:t>ह</w:t>
            </w:r>
            <w:r>
              <w:rPr>
                <w:rFonts w:ascii="Tahoma" w:eastAsia="Times New Roman" w:hAnsi="Tahoma" w:cs="Mangal" w:hint="cs"/>
                <w:sz w:val="24"/>
                <w:szCs w:val="24"/>
                <w:cs/>
              </w:rPr>
              <w:t xml:space="preserve">रियाणा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126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505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561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हिमाचल प्रदेश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96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248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236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जम्मू और कश्मीर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73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130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97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झारखंड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136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257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225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कर्नाटक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90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717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733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केरल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299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220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198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मध्य प्रदेश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347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814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1116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महाराष्ट्र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3357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4687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5072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मणिपुर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56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38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मेघालय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108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134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204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मिजोरम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47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नगालैंड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76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75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उड़ीसा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142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203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244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lastRenderedPageBreak/>
              <w:t>पुडुचेरी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पंजाब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288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465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437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राजस्थान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2040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1805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1663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सिक्किम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99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226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242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तमिलनाडु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679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1287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1136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तेलंगाना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686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त्रिपुरा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उत्तर प्रदेश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110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1859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2798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उत्तराखंड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87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177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281</w:t>
            </w:r>
          </w:p>
        </w:tc>
      </w:tr>
      <w:tr w:rsidR="007D726E" w:rsidRPr="007D726E" w:rsidTr="007D726E">
        <w:trPr>
          <w:trHeight w:val="22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sz w:val="24"/>
                <w:szCs w:val="24"/>
                <w:cs/>
              </w:rPr>
              <w:t>पश्चिम बंगाल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735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1289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25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sz w:val="24"/>
                <w:szCs w:val="24"/>
              </w:rPr>
              <w:t>1799</w:t>
            </w:r>
          </w:p>
        </w:tc>
      </w:tr>
      <w:tr w:rsidR="007D726E" w:rsidRPr="007D726E" w:rsidTr="007D726E">
        <w:trPr>
          <w:trHeight w:val="24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Mangal"/>
                <w:b/>
                <w:bCs/>
                <w:sz w:val="24"/>
                <w:szCs w:val="24"/>
                <w:cs/>
              </w:rPr>
              <w:t>कुल योग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14,117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21,093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D726E" w:rsidRPr="007D726E" w:rsidRDefault="007D726E" w:rsidP="007D726E">
            <w:pPr>
              <w:spacing w:after="0" w:line="24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6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24,073</w:t>
            </w:r>
          </w:p>
        </w:tc>
      </w:tr>
    </w:tbl>
    <w:p w:rsidR="003C06D4" w:rsidRDefault="003C06D4" w:rsidP="00EC48D9">
      <w:pPr>
        <w:ind w:left="360"/>
        <w:rPr>
          <w:sz w:val="28"/>
          <w:szCs w:val="24"/>
        </w:rPr>
      </w:pPr>
    </w:p>
    <w:p w:rsidR="00EC48D9" w:rsidRPr="0061068B" w:rsidRDefault="00EC48D9" w:rsidP="00EC48D9">
      <w:pPr>
        <w:ind w:left="360"/>
        <w:rPr>
          <w:sz w:val="28"/>
          <w:szCs w:val="24"/>
          <w:cs/>
        </w:rPr>
      </w:pPr>
      <w:r>
        <w:rPr>
          <w:rFonts w:hint="cs"/>
          <w:sz w:val="28"/>
          <w:szCs w:val="24"/>
          <w:cs/>
        </w:rPr>
        <w:t xml:space="preserve">लक्षद्वीप के आंकड़े केरल के आंकड़ों में तथा दमन और दीव तथा दादरा और नगर हवेली के आंकड़े गुजरात के आंकड़ों में शामिल हैं। </w:t>
      </w:r>
    </w:p>
    <w:sectPr w:rsidR="00EC48D9" w:rsidRPr="0061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7C5"/>
    <w:multiLevelType w:val="hybridMultilevel"/>
    <w:tmpl w:val="72C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AA"/>
    <w:rsid w:val="000108DB"/>
    <w:rsid w:val="00011EE5"/>
    <w:rsid w:val="000331DE"/>
    <w:rsid w:val="00060C42"/>
    <w:rsid w:val="0006665A"/>
    <w:rsid w:val="00067D30"/>
    <w:rsid w:val="000728E6"/>
    <w:rsid w:val="00075E14"/>
    <w:rsid w:val="0008385F"/>
    <w:rsid w:val="00085CD0"/>
    <w:rsid w:val="00087AFF"/>
    <w:rsid w:val="00093BC5"/>
    <w:rsid w:val="000947A1"/>
    <w:rsid w:val="000A0A0E"/>
    <w:rsid w:val="000A5794"/>
    <w:rsid w:val="000B0FF8"/>
    <w:rsid w:val="000B12BC"/>
    <w:rsid w:val="000B54FA"/>
    <w:rsid w:val="000B6237"/>
    <w:rsid w:val="000D09A1"/>
    <w:rsid w:val="000D1ACD"/>
    <w:rsid w:val="000E03A7"/>
    <w:rsid w:val="000F1830"/>
    <w:rsid w:val="001013A5"/>
    <w:rsid w:val="00104CA7"/>
    <w:rsid w:val="0011286C"/>
    <w:rsid w:val="00132427"/>
    <w:rsid w:val="00136AF3"/>
    <w:rsid w:val="00145144"/>
    <w:rsid w:val="00151C54"/>
    <w:rsid w:val="001557AF"/>
    <w:rsid w:val="00167DBA"/>
    <w:rsid w:val="00173AD9"/>
    <w:rsid w:val="0018169A"/>
    <w:rsid w:val="00183A0C"/>
    <w:rsid w:val="00195247"/>
    <w:rsid w:val="001A1390"/>
    <w:rsid w:val="001D70F4"/>
    <w:rsid w:val="001F0D2B"/>
    <w:rsid w:val="001F17E4"/>
    <w:rsid w:val="001F25AF"/>
    <w:rsid w:val="001F68DE"/>
    <w:rsid w:val="00201CA9"/>
    <w:rsid w:val="00203A74"/>
    <w:rsid w:val="002132F7"/>
    <w:rsid w:val="00216D63"/>
    <w:rsid w:val="00222FCF"/>
    <w:rsid w:val="00254B1D"/>
    <w:rsid w:val="00263A89"/>
    <w:rsid w:val="00273762"/>
    <w:rsid w:val="00290D89"/>
    <w:rsid w:val="00293E79"/>
    <w:rsid w:val="0029426F"/>
    <w:rsid w:val="002977D7"/>
    <w:rsid w:val="00297CE9"/>
    <w:rsid w:val="002A38A0"/>
    <w:rsid w:val="002A6EF7"/>
    <w:rsid w:val="002C0DBF"/>
    <w:rsid w:val="002C1AEE"/>
    <w:rsid w:val="002C4D92"/>
    <w:rsid w:val="002C6DA0"/>
    <w:rsid w:val="002D4854"/>
    <w:rsid w:val="002E4CAB"/>
    <w:rsid w:val="002E6D69"/>
    <w:rsid w:val="002F49AC"/>
    <w:rsid w:val="002F7859"/>
    <w:rsid w:val="00316AC2"/>
    <w:rsid w:val="00317EEC"/>
    <w:rsid w:val="003245A9"/>
    <w:rsid w:val="00326EE2"/>
    <w:rsid w:val="003314D6"/>
    <w:rsid w:val="00333082"/>
    <w:rsid w:val="003368A0"/>
    <w:rsid w:val="00343570"/>
    <w:rsid w:val="0034368C"/>
    <w:rsid w:val="00344409"/>
    <w:rsid w:val="003564CE"/>
    <w:rsid w:val="00357A8A"/>
    <w:rsid w:val="00362F9B"/>
    <w:rsid w:val="00382DAC"/>
    <w:rsid w:val="00392D98"/>
    <w:rsid w:val="003937B5"/>
    <w:rsid w:val="0039720E"/>
    <w:rsid w:val="003A01BA"/>
    <w:rsid w:val="003B00D5"/>
    <w:rsid w:val="003B5633"/>
    <w:rsid w:val="003C05DB"/>
    <w:rsid w:val="003C06D4"/>
    <w:rsid w:val="003C21E7"/>
    <w:rsid w:val="003C2F59"/>
    <w:rsid w:val="003D1A99"/>
    <w:rsid w:val="003D4CA8"/>
    <w:rsid w:val="003E5CF7"/>
    <w:rsid w:val="00402392"/>
    <w:rsid w:val="00423074"/>
    <w:rsid w:val="0042464E"/>
    <w:rsid w:val="004265AD"/>
    <w:rsid w:val="00445D6A"/>
    <w:rsid w:val="00446A79"/>
    <w:rsid w:val="00465272"/>
    <w:rsid w:val="0046574D"/>
    <w:rsid w:val="00470A9E"/>
    <w:rsid w:val="0047193A"/>
    <w:rsid w:val="00477124"/>
    <w:rsid w:val="004927BF"/>
    <w:rsid w:val="00492DBA"/>
    <w:rsid w:val="004A64FB"/>
    <w:rsid w:val="004B0B3E"/>
    <w:rsid w:val="004B4819"/>
    <w:rsid w:val="004D3A2E"/>
    <w:rsid w:val="004F4EA4"/>
    <w:rsid w:val="004F79C8"/>
    <w:rsid w:val="00504E97"/>
    <w:rsid w:val="00507846"/>
    <w:rsid w:val="00507A97"/>
    <w:rsid w:val="005174F2"/>
    <w:rsid w:val="00521B53"/>
    <w:rsid w:val="0052373B"/>
    <w:rsid w:val="005255AF"/>
    <w:rsid w:val="005278D1"/>
    <w:rsid w:val="0054762F"/>
    <w:rsid w:val="005600B3"/>
    <w:rsid w:val="00560D82"/>
    <w:rsid w:val="00586C5C"/>
    <w:rsid w:val="00587B90"/>
    <w:rsid w:val="005904BE"/>
    <w:rsid w:val="00592B39"/>
    <w:rsid w:val="005B6206"/>
    <w:rsid w:val="005B7C08"/>
    <w:rsid w:val="005D143A"/>
    <w:rsid w:val="005D6FB2"/>
    <w:rsid w:val="005E232E"/>
    <w:rsid w:val="005F0047"/>
    <w:rsid w:val="00600027"/>
    <w:rsid w:val="00600984"/>
    <w:rsid w:val="00601B33"/>
    <w:rsid w:val="00603411"/>
    <w:rsid w:val="00603A7A"/>
    <w:rsid w:val="0061068B"/>
    <w:rsid w:val="00615773"/>
    <w:rsid w:val="006272EA"/>
    <w:rsid w:val="00631819"/>
    <w:rsid w:val="00632F26"/>
    <w:rsid w:val="0063505B"/>
    <w:rsid w:val="00646D30"/>
    <w:rsid w:val="00665FCB"/>
    <w:rsid w:val="00675697"/>
    <w:rsid w:val="00682010"/>
    <w:rsid w:val="00692420"/>
    <w:rsid w:val="0069287B"/>
    <w:rsid w:val="006A612B"/>
    <w:rsid w:val="006B2A20"/>
    <w:rsid w:val="006B2CE3"/>
    <w:rsid w:val="006C3946"/>
    <w:rsid w:val="006C462D"/>
    <w:rsid w:val="006C7F25"/>
    <w:rsid w:val="006D0A06"/>
    <w:rsid w:val="006D2AEA"/>
    <w:rsid w:val="006D3398"/>
    <w:rsid w:val="006E5432"/>
    <w:rsid w:val="006F1AB1"/>
    <w:rsid w:val="00724594"/>
    <w:rsid w:val="0073310C"/>
    <w:rsid w:val="007339EB"/>
    <w:rsid w:val="00734EE5"/>
    <w:rsid w:val="00746745"/>
    <w:rsid w:val="00751694"/>
    <w:rsid w:val="0077289E"/>
    <w:rsid w:val="0077571D"/>
    <w:rsid w:val="00783570"/>
    <w:rsid w:val="007A62E3"/>
    <w:rsid w:val="007B2E06"/>
    <w:rsid w:val="007B49D1"/>
    <w:rsid w:val="007C29E9"/>
    <w:rsid w:val="007D3053"/>
    <w:rsid w:val="007D465C"/>
    <w:rsid w:val="007D62A9"/>
    <w:rsid w:val="007D726E"/>
    <w:rsid w:val="007F007A"/>
    <w:rsid w:val="007F12CE"/>
    <w:rsid w:val="008123E8"/>
    <w:rsid w:val="008140DE"/>
    <w:rsid w:val="00815D84"/>
    <w:rsid w:val="00834373"/>
    <w:rsid w:val="00834C9A"/>
    <w:rsid w:val="008627A4"/>
    <w:rsid w:val="00865949"/>
    <w:rsid w:val="00867E97"/>
    <w:rsid w:val="00873D4A"/>
    <w:rsid w:val="0087737B"/>
    <w:rsid w:val="00883BC6"/>
    <w:rsid w:val="00892064"/>
    <w:rsid w:val="008A668D"/>
    <w:rsid w:val="008B4DDC"/>
    <w:rsid w:val="008B681A"/>
    <w:rsid w:val="008D01C6"/>
    <w:rsid w:val="008E0038"/>
    <w:rsid w:val="008F0A76"/>
    <w:rsid w:val="008F2279"/>
    <w:rsid w:val="008F2EA5"/>
    <w:rsid w:val="008F3EBF"/>
    <w:rsid w:val="008F4421"/>
    <w:rsid w:val="009047BC"/>
    <w:rsid w:val="009074F1"/>
    <w:rsid w:val="00907974"/>
    <w:rsid w:val="009130EA"/>
    <w:rsid w:val="0092056E"/>
    <w:rsid w:val="009256D3"/>
    <w:rsid w:val="00935AFB"/>
    <w:rsid w:val="0094104B"/>
    <w:rsid w:val="00950B59"/>
    <w:rsid w:val="009523B9"/>
    <w:rsid w:val="00952A11"/>
    <w:rsid w:val="009716DD"/>
    <w:rsid w:val="00972D0F"/>
    <w:rsid w:val="009869A8"/>
    <w:rsid w:val="009879A2"/>
    <w:rsid w:val="009C6A82"/>
    <w:rsid w:val="009D4457"/>
    <w:rsid w:val="009D7EC4"/>
    <w:rsid w:val="009E3ABB"/>
    <w:rsid w:val="009F1D0F"/>
    <w:rsid w:val="009F36D1"/>
    <w:rsid w:val="009F535F"/>
    <w:rsid w:val="00A021EE"/>
    <w:rsid w:val="00A042EB"/>
    <w:rsid w:val="00A12CED"/>
    <w:rsid w:val="00A1525E"/>
    <w:rsid w:val="00A24D68"/>
    <w:rsid w:val="00A27B23"/>
    <w:rsid w:val="00A4671B"/>
    <w:rsid w:val="00A467F3"/>
    <w:rsid w:val="00A93B75"/>
    <w:rsid w:val="00A947D9"/>
    <w:rsid w:val="00AB6F27"/>
    <w:rsid w:val="00AC5711"/>
    <w:rsid w:val="00AC5FDC"/>
    <w:rsid w:val="00AC6F82"/>
    <w:rsid w:val="00AF3B9D"/>
    <w:rsid w:val="00B030BB"/>
    <w:rsid w:val="00B10026"/>
    <w:rsid w:val="00B204E1"/>
    <w:rsid w:val="00B20864"/>
    <w:rsid w:val="00B23784"/>
    <w:rsid w:val="00B24FB8"/>
    <w:rsid w:val="00B33762"/>
    <w:rsid w:val="00B42907"/>
    <w:rsid w:val="00B42C5D"/>
    <w:rsid w:val="00B43685"/>
    <w:rsid w:val="00B50D5E"/>
    <w:rsid w:val="00B62CF8"/>
    <w:rsid w:val="00B72EA0"/>
    <w:rsid w:val="00B74A6D"/>
    <w:rsid w:val="00B83CFC"/>
    <w:rsid w:val="00B87C47"/>
    <w:rsid w:val="00B97EF9"/>
    <w:rsid w:val="00BB08B5"/>
    <w:rsid w:val="00BB142A"/>
    <w:rsid w:val="00BB631C"/>
    <w:rsid w:val="00BC4F1D"/>
    <w:rsid w:val="00BD54C1"/>
    <w:rsid w:val="00BD67EC"/>
    <w:rsid w:val="00BE7CAA"/>
    <w:rsid w:val="00BF7E93"/>
    <w:rsid w:val="00C01119"/>
    <w:rsid w:val="00C06040"/>
    <w:rsid w:val="00C12FC6"/>
    <w:rsid w:val="00C16EDE"/>
    <w:rsid w:val="00C21DE7"/>
    <w:rsid w:val="00C47643"/>
    <w:rsid w:val="00C668E4"/>
    <w:rsid w:val="00C73993"/>
    <w:rsid w:val="00C77031"/>
    <w:rsid w:val="00C87360"/>
    <w:rsid w:val="00CA16AF"/>
    <w:rsid w:val="00CA6784"/>
    <w:rsid w:val="00CB34A1"/>
    <w:rsid w:val="00CC2439"/>
    <w:rsid w:val="00CC7D63"/>
    <w:rsid w:val="00CE1306"/>
    <w:rsid w:val="00D05C66"/>
    <w:rsid w:val="00D10389"/>
    <w:rsid w:val="00D32B27"/>
    <w:rsid w:val="00D34EC5"/>
    <w:rsid w:val="00D41325"/>
    <w:rsid w:val="00D50A88"/>
    <w:rsid w:val="00D51D1A"/>
    <w:rsid w:val="00D55AC6"/>
    <w:rsid w:val="00D620D2"/>
    <w:rsid w:val="00D63127"/>
    <w:rsid w:val="00D651FB"/>
    <w:rsid w:val="00D7004E"/>
    <w:rsid w:val="00D732D7"/>
    <w:rsid w:val="00DA7B89"/>
    <w:rsid w:val="00DB1B35"/>
    <w:rsid w:val="00DB238A"/>
    <w:rsid w:val="00DC0A38"/>
    <w:rsid w:val="00DD43CD"/>
    <w:rsid w:val="00DE354B"/>
    <w:rsid w:val="00DE3B42"/>
    <w:rsid w:val="00DE3F9B"/>
    <w:rsid w:val="00DE7DF0"/>
    <w:rsid w:val="00DF0FE2"/>
    <w:rsid w:val="00DF632B"/>
    <w:rsid w:val="00DF6CA7"/>
    <w:rsid w:val="00E15694"/>
    <w:rsid w:val="00E21D1F"/>
    <w:rsid w:val="00E27D46"/>
    <w:rsid w:val="00E40F1A"/>
    <w:rsid w:val="00E43218"/>
    <w:rsid w:val="00E5059E"/>
    <w:rsid w:val="00E51093"/>
    <w:rsid w:val="00E51A5D"/>
    <w:rsid w:val="00E531CD"/>
    <w:rsid w:val="00E73F74"/>
    <w:rsid w:val="00E87545"/>
    <w:rsid w:val="00E905C6"/>
    <w:rsid w:val="00E92A5C"/>
    <w:rsid w:val="00EB2E84"/>
    <w:rsid w:val="00EB5E39"/>
    <w:rsid w:val="00EB6E5F"/>
    <w:rsid w:val="00EB75A5"/>
    <w:rsid w:val="00EC0DF1"/>
    <w:rsid w:val="00EC48D9"/>
    <w:rsid w:val="00ED3F42"/>
    <w:rsid w:val="00F02CDB"/>
    <w:rsid w:val="00F030C3"/>
    <w:rsid w:val="00F248A9"/>
    <w:rsid w:val="00F33DF2"/>
    <w:rsid w:val="00F36C20"/>
    <w:rsid w:val="00F46BA5"/>
    <w:rsid w:val="00F51AAA"/>
    <w:rsid w:val="00F52D47"/>
    <w:rsid w:val="00F7371E"/>
    <w:rsid w:val="00F73CBA"/>
    <w:rsid w:val="00F7497D"/>
    <w:rsid w:val="00F74CA7"/>
    <w:rsid w:val="00F8095A"/>
    <w:rsid w:val="00F81F12"/>
    <w:rsid w:val="00FC45BE"/>
    <w:rsid w:val="00FE3C29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D63"/>
    <w:pPr>
      <w:ind w:left="720"/>
      <w:contextualSpacing/>
    </w:pPr>
  </w:style>
  <w:style w:type="paragraph" w:customStyle="1" w:styleId="Normal1">
    <w:name w:val="Normal1"/>
    <w:basedOn w:val="Normal"/>
    <w:rsid w:val="007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7D726E"/>
  </w:style>
  <w:style w:type="paragraph" w:customStyle="1" w:styleId="table0020grid">
    <w:name w:val="table_0020grid"/>
    <w:basedOn w:val="Normal"/>
    <w:rsid w:val="007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7D7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D63"/>
    <w:pPr>
      <w:ind w:left="720"/>
      <w:contextualSpacing/>
    </w:pPr>
  </w:style>
  <w:style w:type="paragraph" w:customStyle="1" w:styleId="Normal1">
    <w:name w:val="Normal1"/>
    <w:basedOn w:val="Normal"/>
    <w:rsid w:val="007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7D726E"/>
  </w:style>
  <w:style w:type="paragraph" w:customStyle="1" w:styleId="table0020grid">
    <w:name w:val="table_0020grid"/>
    <w:basedOn w:val="Normal"/>
    <w:rsid w:val="007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7D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25</cp:revision>
  <cp:lastPrinted>2015-07-27T09:42:00Z</cp:lastPrinted>
  <dcterms:created xsi:type="dcterms:W3CDTF">2015-07-27T05:46:00Z</dcterms:created>
  <dcterms:modified xsi:type="dcterms:W3CDTF">2015-07-27T14:47:00Z</dcterms:modified>
</cp:coreProperties>
</file>