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6C" w:rsidRPr="005D2ED9" w:rsidRDefault="002E066C" w:rsidP="002E066C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2E066C" w:rsidRPr="005D2ED9" w:rsidRDefault="002E066C" w:rsidP="002E066C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2E066C" w:rsidRPr="005D2ED9" w:rsidRDefault="002E066C" w:rsidP="002E066C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2E066C" w:rsidRPr="005D2ED9" w:rsidRDefault="002E066C" w:rsidP="002E066C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2E066C" w:rsidRPr="005D2ED9" w:rsidRDefault="002E066C" w:rsidP="002E066C">
      <w:pPr>
        <w:jc w:val="center"/>
        <w:rPr>
          <w:rFonts w:ascii="Mangal" w:hAnsi="Mangal" w:cs="Mangal" w:hint="cs"/>
          <w:b/>
          <w:sz w:val="20"/>
          <w:szCs w:val="20"/>
          <w:lang w:bidi="hi-IN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अ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92</w:t>
      </w:r>
    </w:p>
    <w:p w:rsidR="002E066C" w:rsidRPr="005D2ED9" w:rsidRDefault="002E066C" w:rsidP="002E066C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2E066C" w:rsidRPr="00ED590A" w:rsidRDefault="002E066C" w:rsidP="002E066C">
      <w:pPr>
        <w:ind w:left="360" w:hanging="360"/>
        <w:jc w:val="center"/>
        <w:rPr>
          <w:rFonts w:ascii="Mangal" w:hAnsi="Mangal" w:cs="Mangal"/>
          <w:b/>
          <w:bCs/>
          <w:sz w:val="2"/>
          <w:szCs w:val="2"/>
        </w:rPr>
      </w:pPr>
    </w:p>
    <w:p w:rsidR="002E066C" w:rsidRPr="005D2ED9" w:rsidRDefault="002E066C" w:rsidP="002E066C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उत्पादन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क्षमता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वृद्धि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लक्ष्य</w:t>
      </w:r>
    </w:p>
    <w:p w:rsidR="002E066C" w:rsidRPr="00ED590A" w:rsidRDefault="002E066C" w:rsidP="002E066C">
      <w:pPr>
        <w:ind w:left="450" w:hanging="450"/>
        <w:jc w:val="center"/>
        <w:rPr>
          <w:rFonts w:ascii="Mangal" w:hAnsi="Mangal" w:cs="Mangal" w:hint="cs"/>
          <w:b/>
          <w:bCs/>
          <w:sz w:val="2"/>
          <w:szCs w:val="2"/>
          <w:lang w:bidi="hi-IN"/>
        </w:rPr>
      </w:pPr>
    </w:p>
    <w:p w:rsidR="002E066C" w:rsidRPr="005D2ED9" w:rsidRDefault="002E066C" w:rsidP="002E066C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 xml:space="preserve">92.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देवेंदर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गौड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टी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.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: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2E066C" w:rsidRPr="00ED590A" w:rsidRDefault="002E066C" w:rsidP="002E066C">
      <w:pPr>
        <w:ind w:left="450" w:hanging="450"/>
        <w:jc w:val="both"/>
        <w:rPr>
          <w:rFonts w:ascii="Mangal" w:hAnsi="Mangal" w:cs="Mangal" w:hint="cs"/>
          <w:b/>
          <w:bCs/>
          <w:sz w:val="2"/>
          <w:szCs w:val="2"/>
          <w:lang w:bidi="hi-IN"/>
        </w:rPr>
      </w:pPr>
    </w:p>
    <w:p w:rsidR="002E066C" w:rsidRPr="005D2ED9" w:rsidRDefault="002E066C" w:rsidP="002E066C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2E066C" w:rsidRPr="00ED590A" w:rsidRDefault="002E066C" w:rsidP="002E066C">
      <w:pPr>
        <w:ind w:left="450" w:hanging="450"/>
        <w:jc w:val="both"/>
        <w:rPr>
          <w:rFonts w:ascii="Mangal" w:hAnsi="Mangal" w:cs="Mangal" w:hint="cs"/>
          <w:b/>
          <w:bCs/>
          <w:sz w:val="8"/>
          <w:szCs w:val="8"/>
          <w:lang w:bidi="hi-IN"/>
        </w:rPr>
      </w:pPr>
    </w:p>
    <w:p w:rsidR="002E066C" w:rsidRPr="005D2ED9" w:rsidRDefault="002E066C" w:rsidP="002E066C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पिछले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तीन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वर्ष़ों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दौरान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अर्थात्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वर्ष</w:t>
      </w:r>
      <w:r w:rsidRPr="005D2ED9">
        <w:rPr>
          <w:rFonts w:ascii="Mangal" w:hAnsi="Mangal" w:cs="Mangal"/>
          <w:sz w:val="20"/>
          <w:szCs w:val="20"/>
        </w:rPr>
        <w:t xml:space="preserve"> 2011-12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sz w:val="20"/>
          <w:szCs w:val="20"/>
        </w:rPr>
        <w:t xml:space="preserve"> 2013-14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निजी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क्षेत्र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कंपनियों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द्वारा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प्रति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वर्ष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मात्र</w:t>
      </w:r>
      <w:r w:rsidRPr="005D2ED9">
        <w:rPr>
          <w:rFonts w:ascii="Mangal" w:hAnsi="Mangal" w:cs="Mangal"/>
          <w:sz w:val="20"/>
          <w:szCs w:val="20"/>
        </w:rPr>
        <w:t xml:space="preserve"> 11,000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मेगावाट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क्षमता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वृद्धि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2E066C" w:rsidRPr="00ED590A" w:rsidRDefault="002E066C" w:rsidP="002E066C">
      <w:pPr>
        <w:ind w:left="450" w:hanging="450"/>
        <w:jc w:val="both"/>
        <w:rPr>
          <w:rFonts w:ascii="Mangal" w:hAnsi="Mangal" w:cs="Mangal" w:hint="cs"/>
          <w:sz w:val="6"/>
          <w:szCs w:val="6"/>
          <w:lang w:bidi="hi-IN"/>
        </w:rPr>
      </w:pPr>
    </w:p>
    <w:p w:rsidR="002E066C" w:rsidRPr="005D2ED9" w:rsidRDefault="002E066C" w:rsidP="002E066C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साथ</w:t>
      </w:r>
      <w:r w:rsidRPr="005D2ED9">
        <w:rPr>
          <w:rFonts w:ascii="Mangal" w:hAnsi="Mangal" w:cs="Mangal"/>
          <w:sz w:val="20"/>
          <w:szCs w:val="20"/>
        </w:rPr>
        <w:t xml:space="preserve"> 12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वीं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पंचवर्षीय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योजना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88,000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मेगावाट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क्षमता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वृद्धि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लक्ष्य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पूर्ति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प्रकार मंत्रालय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योजना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2E066C" w:rsidRPr="00ED590A" w:rsidRDefault="002E066C" w:rsidP="002E066C">
      <w:pPr>
        <w:ind w:left="450" w:hanging="450"/>
        <w:jc w:val="both"/>
        <w:rPr>
          <w:rFonts w:ascii="Mangal" w:hAnsi="Mangal" w:cs="Mangal" w:hint="cs"/>
          <w:sz w:val="8"/>
          <w:szCs w:val="8"/>
          <w:lang w:bidi="hi-IN"/>
        </w:rPr>
      </w:pPr>
    </w:p>
    <w:p w:rsidR="002E066C" w:rsidRPr="005D2ED9" w:rsidRDefault="002E066C" w:rsidP="002E066C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ब्लॉकों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रद्द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जाने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मद्देनजर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मंत्रालय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संयंत्रों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प्रकार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प्रदान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तथा</w:t>
      </w:r>
      <w:r w:rsidRPr="005D2ED9">
        <w:rPr>
          <w:rFonts w:ascii="Mangal" w:hAnsi="Mangal" w:cs="Mangal"/>
          <w:sz w:val="20"/>
          <w:szCs w:val="20"/>
        </w:rPr>
        <w:t xml:space="preserve"> 12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वीं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योजना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लक्ष्य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पूर्ति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किस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प्रकार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योजना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?</w:t>
      </w:r>
    </w:p>
    <w:p w:rsidR="002E066C" w:rsidRPr="008F5896" w:rsidRDefault="002E066C" w:rsidP="002E066C">
      <w:pPr>
        <w:jc w:val="both"/>
        <w:rPr>
          <w:rFonts w:ascii="Mangal" w:hAnsi="Mangal" w:cs="Mangal" w:hint="cs"/>
          <w:b/>
          <w:bCs/>
          <w:sz w:val="2"/>
          <w:szCs w:val="2"/>
          <w:lang w:bidi="hi-IN"/>
        </w:rPr>
      </w:pPr>
    </w:p>
    <w:p w:rsidR="002E066C" w:rsidRDefault="002E066C" w:rsidP="002E066C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2E066C" w:rsidRPr="005D2ED9" w:rsidRDefault="002E066C" w:rsidP="002E066C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2E066C" w:rsidRPr="00ED590A" w:rsidRDefault="002E066C" w:rsidP="002E066C">
      <w:pPr>
        <w:jc w:val="center"/>
        <w:rPr>
          <w:rFonts w:ascii="Mangal" w:hAnsi="Mangal" w:cs="Mangal"/>
          <w:b/>
          <w:sz w:val="12"/>
          <w:szCs w:val="12"/>
        </w:rPr>
      </w:pPr>
    </w:p>
    <w:p w:rsidR="002E066C" w:rsidRDefault="002E066C" w:rsidP="002E066C">
      <w:pPr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</w:p>
    <w:p w:rsidR="002E066C" w:rsidRPr="005933B8" w:rsidRDefault="002E066C" w:rsidP="002E066C">
      <w:pPr>
        <w:jc w:val="both"/>
        <w:rPr>
          <w:rFonts w:ascii="Mangal" w:hAnsi="Mangal" w:cs="Mangal"/>
          <w:sz w:val="8"/>
          <w:szCs w:val="8"/>
          <w:lang w:bidi="hi-IN"/>
        </w:rPr>
      </w:pP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2E066C" w:rsidRDefault="002E066C" w:rsidP="002E066C">
      <w:pPr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2E066C" w:rsidRPr="00ED590A" w:rsidRDefault="002E066C" w:rsidP="002E066C">
      <w:pPr>
        <w:rPr>
          <w:rFonts w:ascii="Mangal" w:hAnsi="Mangal" w:cs="Mangal"/>
          <w:b/>
          <w:bCs/>
          <w:sz w:val="6"/>
          <w:szCs w:val="6"/>
        </w:rPr>
      </w:pPr>
    </w:p>
    <w:p w:rsidR="002E066C" w:rsidRPr="00ED590A" w:rsidRDefault="002E066C" w:rsidP="002E066C">
      <w:pPr>
        <w:jc w:val="both"/>
        <w:rPr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>(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</w:t>
      </w:r>
      <w:r>
        <w:rPr>
          <w:rFonts w:ascii="Mangal" w:hAnsi="Mangal" w:cs="Mangal"/>
          <w:b/>
          <w:bCs/>
          <w:sz w:val="20"/>
          <w:szCs w:val="20"/>
        </w:rPr>
        <w:t xml:space="preserve">) </w:t>
      </w:r>
      <w:proofErr w:type="spellStart"/>
      <w:r w:rsidRPr="00ED590A">
        <w:rPr>
          <w:rFonts w:ascii="Mangal" w:hAnsi="Mangal" w:cs="Mangal"/>
          <w:b/>
          <w:bCs/>
          <w:sz w:val="20"/>
          <w:szCs w:val="20"/>
        </w:rPr>
        <w:t>और</w:t>
      </w:r>
      <w:proofErr w:type="spellEnd"/>
      <w:r w:rsidRPr="00ED590A">
        <w:rPr>
          <w:rFonts w:ascii="Mangal" w:hAnsi="Mangal" w:cs="Mangal"/>
          <w:b/>
          <w:bCs/>
          <w:sz w:val="20"/>
          <w:szCs w:val="20"/>
        </w:rPr>
        <w:t xml:space="preserve"> (ख</w:t>
      </w:r>
      <w:proofErr w:type="gramStart"/>
      <w:r w:rsidRPr="00ED590A">
        <w:rPr>
          <w:rFonts w:ascii="Mangal" w:hAnsi="Mangal" w:cs="Mangal"/>
          <w:b/>
          <w:bCs/>
          <w:sz w:val="20"/>
          <w:szCs w:val="20"/>
        </w:rPr>
        <w:t>)</w:t>
      </w:r>
      <w:r w:rsidRPr="00ED590A">
        <w:rPr>
          <w:b/>
          <w:bCs/>
          <w:sz w:val="20"/>
          <w:szCs w:val="20"/>
        </w:rPr>
        <w:t xml:space="preserve"> :</w:t>
      </w:r>
      <w:proofErr w:type="gramEnd"/>
      <w:r w:rsidRPr="00ED590A">
        <w:rPr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गत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तीन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वर्षों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दौरान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निजी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क्षेत्र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विद्युत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कंपनियों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द्वारा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उत्पादन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क्षमता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अभिवृद्धि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इस प्रकार</w:t>
      </w:r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है</w:t>
      </w:r>
      <w:proofErr w:type="spellEnd"/>
      <w:r w:rsidRPr="00ED590A">
        <w:rPr>
          <w:sz w:val="20"/>
          <w:szCs w:val="20"/>
        </w:rPr>
        <w:t>:</w:t>
      </w:r>
    </w:p>
    <w:p w:rsidR="002E066C" w:rsidRPr="00ED590A" w:rsidRDefault="002E066C" w:rsidP="002E066C">
      <w:pPr>
        <w:ind w:left="102"/>
        <w:jc w:val="both"/>
        <w:rPr>
          <w:sz w:val="20"/>
          <w:szCs w:val="20"/>
        </w:rPr>
      </w:pPr>
    </w:p>
    <w:tbl>
      <w:tblPr>
        <w:tblW w:w="3331" w:type="pct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3560"/>
      </w:tblGrid>
      <w:tr w:rsidR="002E066C" w:rsidRPr="0078670D" w:rsidTr="009164BD">
        <w:trPr>
          <w:trHeight w:val="251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6C" w:rsidRPr="0078670D" w:rsidRDefault="002E066C" w:rsidP="009164BD">
            <w:pPr>
              <w:jc w:val="both"/>
              <w:rPr>
                <w:rFonts w:ascii="Mangal" w:hAnsi="Mangal" w:cs="Mangal"/>
                <w:b/>
                <w:sz w:val="20"/>
                <w:szCs w:val="20"/>
              </w:rPr>
            </w:pPr>
            <w:proofErr w:type="spellStart"/>
            <w:r w:rsidRPr="0078670D">
              <w:rPr>
                <w:rFonts w:ascii="Mangal" w:hAnsi="Mangal" w:cs="Mangal"/>
                <w:b/>
                <w:sz w:val="20"/>
                <w:szCs w:val="20"/>
              </w:rPr>
              <w:t>वर्ष</w:t>
            </w:r>
            <w:proofErr w:type="spellEnd"/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6C" w:rsidRPr="0078670D" w:rsidRDefault="002E066C" w:rsidP="009164BD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proofErr w:type="spellStart"/>
            <w:r w:rsidRPr="0078670D">
              <w:rPr>
                <w:rFonts w:ascii="Mangal" w:hAnsi="Mangal" w:cs="Mangal"/>
                <w:b/>
                <w:sz w:val="20"/>
                <w:szCs w:val="20"/>
              </w:rPr>
              <w:t>जोड़ी</w:t>
            </w:r>
            <w:proofErr w:type="spellEnd"/>
            <w:r w:rsidRPr="0078670D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proofErr w:type="spellStart"/>
            <w:r w:rsidRPr="0078670D">
              <w:rPr>
                <w:rFonts w:ascii="Mangal" w:hAnsi="Mangal" w:cs="Mangal"/>
                <w:b/>
                <w:sz w:val="20"/>
                <w:szCs w:val="20"/>
              </w:rPr>
              <w:t>गई</w:t>
            </w:r>
            <w:proofErr w:type="spellEnd"/>
            <w:r w:rsidRPr="0078670D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proofErr w:type="spellStart"/>
            <w:r w:rsidRPr="0078670D">
              <w:rPr>
                <w:rFonts w:ascii="Mangal" w:hAnsi="Mangal" w:cs="Mangal"/>
                <w:b/>
                <w:sz w:val="20"/>
                <w:szCs w:val="20"/>
              </w:rPr>
              <w:t>क्षमता</w:t>
            </w:r>
            <w:proofErr w:type="spellEnd"/>
            <w:r w:rsidRPr="0078670D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proofErr w:type="spellStart"/>
            <w:r w:rsidRPr="0078670D">
              <w:rPr>
                <w:rFonts w:ascii="Mangal" w:hAnsi="Mangal" w:cs="Mangal"/>
                <w:b/>
                <w:sz w:val="20"/>
                <w:szCs w:val="20"/>
              </w:rPr>
              <w:t>मेगावाट</w:t>
            </w:r>
            <w:proofErr w:type="spellEnd"/>
            <w:r w:rsidRPr="0078670D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</w:tr>
      <w:tr w:rsidR="002E066C" w:rsidRPr="0078670D" w:rsidTr="009164BD">
        <w:trPr>
          <w:trHeight w:val="303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6C" w:rsidRPr="0078670D" w:rsidRDefault="002E066C" w:rsidP="009164BD">
            <w:pPr>
              <w:jc w:val="both"/>
              <w:rPr>
                <w:rFonts w:ascii="Mangal" w:hAnsi="Mangal" w:cs="Mangal"/>
                <w:sz w:val="20"/>
                <w:szCs w:val="20"/>
              </w:rPr>
            </w:pPr>
            <w:r w:rsidRPr="0078670D">
              <w:rPr>
                <w:rFonts w:ascii="Mangal" w:hAnsi="Mangal" w:cs="Mangal"/>
                <w:sz w:val="20"/>
                <w:szCs w:val="20"/>
              </w:rPr>
              <w:t>2011-12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6C" w:rsidRPr="0078670D" w:rsidRDefault="002E066C" w:rsidP="009164BD">
            <w:pPr>
              <w:ind w:right="1421"/>
              <w:jc w:val="right"/>
              <w:rPr>
                <w:rFonts w:ascii="Mangal" w:hAnsi="Mangal" w:cs="Mangal"/>
                <w:sz w:val="20"/>
                <w:szCs w:val="20"/>
              </w:rPr>
            </w:pPr>
            <w:r w:rsidRPr="0078670D">
              <w:rPr>
                <w:rFonts w:ascii="Mangal" w:hAnsi="Mangal" w:cs="Mangal"/>
                <w:sz w:val="20"/>
                <w:szCs w:val="20"/>
              </w:rPr>
              <w:t>11971</w:t>
            </w:r>
          </w:p>
        </w:tc>
      </w:tr>
      <w:tr w:rsidR="002E066C" w:rsidRPr="0078670D" w:rsidTr="009164BD">
        <w:trPr>
          <w:trHeight w:val="303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6C" w:rsidRPr="0078670D" w:rsidRDefault="002E066C" w:rsidP="009164BD">
            <w:pPr>
              <w:jc w:val="both"/>
              <w:rPr>
                <w:rFonts w:ascii="Mangal" w:hAnsi="Mangal" w:cs="Mangal"/>
                <w:sz w:val="20"/>
                <w:szCs w:val="20"/>
              </w:rPr>
            </w:pPr>
            <w:r w:rsidRPr="0078670D">
              <w:rPr>
                <w:rFonts w:ascii="Mangal" w:hAnsi="Mangal" w:cs="Mangal"/>
                <w:sz w:val="20"/>
                <w:szCs w:val="20"/>
              </w:rPr>
              <w:t>2012-13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6C" w:rsidRPr="0078670D" w:rsidRDefault="002E066C" w:rsidP="009164BD">
            <w:pPr>
              <w:ind w:right="1421"/>
              <w:jc w:val="right"/>
              <w:rPr>
                <w:rFonts w:ascii="Mangal" w:hAnsi="Mangal" w:cs="Mangal"/>
                <w:sz w:val="20"/>
                <w:szCs w:val="20"/>
              </w:rPr>
            </w:pPr>
            <w:r w:rsidRPr="0078670D">
              <w:rPr>
                <w:rFonts w:ascii="Mangal" w:hAnsi="Mangal" w:cs="Mangal"/>
                <w:sz w:val="20"/>
                <w:szCs w:val="20"/>
              </w:rPr>
              <w:t>11257.5</w:t>
            </w:r>
          </w:p>
        </w:tc>
      </w:tr>
      <w:tr w:rsidR="002E066C" w:rsidRPr="0078670D" w:rsidTr="009164BD">
        <w:trPr>
          <w:trHeight w:val="303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6C" w:rsidRPr="0078670D" w:rsidRDefault="002E066C" w:rsidP="009164BD">
            <w:pPr>
              <w:jc w:val="both"/>
              <w:rPr>
                <w:rFonts w:ascii="Mangal" w:hAnsi="Mangal" w:cs="Mangal"/>
                <w:sz w:val="20"/>
                <w:szCs w:val="20"/>
              </w:rPr>
            </w:pPr>
            <w:r w:rsidRPr="0078670D">
              <w:rPr>
                <w:rFonts w:ascii="Mangal" w:hAnsi="Mangal" w:cs="Mangal"/>
                <w:sz w:val="20"/>
                <w:szCs w:val="20"/>
              </w:rPr>
              <w:t>2013-14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6C" w:rsidRPr="0078670D" w:rsidRDefault="002E066C" w:rsidP="009164BD">
            <w:pPr>
              <w:ind w:right="1421"/>
              <w:jc w:val="right"/>
              <w:rPr>
                <w:rFonts w:ascii="Mangal" w:hAnsi="Mangal" w:cs="Mangal"/>
                <w:sz w:val="20"/>
                <w:szCs w:val="20"/>
              </w:rPr>
            </w:pPr>
            <w:r w:rsidRPr="0078670D">
              <w:rPr>
                <w:rFonts w:ascii="Mangal" w:hAnsi="Mangal" w:cs="Mangal"/>
                <w:sz w:val="20"/>
                <w:szCs w:val="20"/>
              </w:rPr>
              <w:t>11884</w:t>
            </w:r>
          </w:p>
        </w:tc>
      </w:tr>
      <w:tr w:rsidR="002E066C" w:rsidRPr="0078670D" w:rsidTr="009164BD">
        <w:trPr>
          <w:trHeight w:val="32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6C" w:rsidRPr="0078670D" w:rsidRDefault="002E066C" w:rsidP="009164BD">
            <w:pPr>
              <w:ind w:left="720" w:hanging="720"/>
              <w:contextualSpacing/>
              <w:jc w:val="both"/>
              <w:rPr>
                <w:rFonts w:ascii="Mangal" w:hAnsi="Mangal" w:cs="Mangal"/>
                <w:b/>
                <w:sz w:val="20"/>
                <w:szCs w:val="20"/>
              </w:rPr>
            </w:pPr>
            <w:proofErr w:type="spellStart"/>
            <w:r w:rsidRPr="0078670D">
              <w:rPr>
                <w:rFonts w:ascii="Mangal" w:hAnsi="Mangal" w:cs="Mangal"/>
                <w:b/>
                <w:sz w:val="20"/>
                <w:szCs w:val="20"/>
              </w:rPr>
              <w:t>कुल</w:t>
            </w:r>
            <w:proofErr w:type="spellEnd"/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6C" w:rsidRPr="0078670D" w:rsidRDefault="002E066C" w:rsidP="009164BD">
            <w:pPr>
              <w:ind w:right="1421"/>
              <w:jc w:val="right"/>
              <w:rPr>
                <w:rFonts w:ascii="Mangal" w:hAnsi="Mangal" w:cs="Mangal"/>
                <w:b/>
                <w:sz w:val="20"/>
                <w:szCs w:val="20"/>
              </w:rPr>
            </w:pPr>
            <w:r w:rsidRPr="0078670D">
              <w:rPr>
                <w:rFonts w:ascii="Mangal" w:hAnsi="Mangal" w:cs="Mangal"/>
                <w:b/>
                <w:sz w:val="20"/>
                <w:szCs w:val="20"/>
              </w:rPr>
              <w:fldChar w:fldCharType="begin"/>
            </w:r>
            <w:r w:rsidRPr="0078670D">
              <w:rPr>
                <w:rFonts w:ascii="Mangal" w:hAnsi="Mangal" w:cs="Mangal"/>
                <w:b/>
                <w:sz w:val="20"/>
                <w:szCs w:val="20"/>
              </w:rPr>
              <w:instrText xml:space="preserve"> =SUM(ABOVE) </w:instrText>
            </w:r>
            <w:r w:rsidRPr="0078670D">
              <w:rPr>
                <w:rFonts w:ascii="Mangal" w:hAnsi="Mangal" w:cs="Mangal"/>
                <w:b/>
                <w:sz w:val="20"/>
                <w:szCs w:val="20"/>
              </w:rPr>
              <w:fldChar w:fldCharType="separate"/>
            </w:r>
            <w:r w:rsidRPr="0078670D">
              <w:rPr>
                <w:rFonts w:ascii="Mangal" w:hAnsi="Mangal" w:cs="Mangal"/>
                <w:b/>
                <w:noProof/>
                <w:sz w:val="20"/>
                <w:szCs w:val="20"/>
              </w:rPr>
              <w:t>35112.5</w:t>
            </w:r>
            <w:r w:rsidRPr="0078670D">
              <w:rPr>
                <w:rFonts w:ascii="Mangal" w:hAnsi="Mangal" w:cs="Mangal"/>
                <w:b/>
                <w:sz w:val="20"/>
                <w:szCs w:val="20"/>
              </w:rPr>
              <w:fldChar w:fldCharType="end"/>
            </w:r>
          </w:p>
        </w:tc>
      </w:tr>
    </w:tbl>
    <w:p w:rsidR="002E066C" w:rsidRPr="00ED590A" w:rsidRDefault="002E066C" w:rsidP="002E066C">
      <w:pPr>
        <w:jc w:val="both"/>
        <w:rPr>
          <w:sz w:val="20"/>
          <w:szCs w:val="20"/>
        </w:rPr>
      </w:pPr>
    </w:p>
    <w:p w:rsidR="002E066C" w:rsidRPr="00ED590A" w:rsidRDefault="002E066C" w:rsidP="002E066C">
      <w:pPr>
        <w:jc w:val="both"/>
        <w:rPr>
          <w:sz w:val="20"/>
          <w:szCs w:val="20"/>
        </w:rPr>
      </w:pPr>
      <w:r w:rsidRPr="00ED590A">
        <w:rPr>
          <w:sz w:val="20"/>
          <w:szCs w:val="20"/>
        </w:rPr>
        <w:t xml:space="preserve">     </w:t>
      </w:r>
      <w:r w:rsidRPr="00ED590A">
        <w:rPr>
          <w:sz w:val="20"/>
          <w:szCs w:val="20"/>
        </w:rPr>
        <w:tab/>
      </w:r>
      <w:r w:rsidRPr="00ED590A">
        <w:rPr>
          <w:sz w:val="20"/>
          <w:szCs w:val="20"/>
        </w:rPr>
        <w:tab/>
      </w:r>
      <w:proofErr w:type="spellStart"/>
      <w:r w:rsidRPr="00ED590A">
        <w:rPr>
          <w:rFonts w:ascii="Mangal" w:hAnsi="Mangal" w:cs="Mangal"/>
          <w:sz w:val="20"/>
          <w:szCs w:val="20"/>
        </w:rPr>
        <w:t>क्षमता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अभिवृद्धि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हेतु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12वीं </w:t>
      </w:r>
      <w:proofErr w:type="spellStart"/>
      <w:r w:rsidRPr="00ED590A">
        <w:rPr>
          <w:rFonts w:ascii="Mangal" w:hAnsi="Mangal" w:cs="Mangal"/>
          <w:sz w:val="20"/>
          <w:szCs w:val="20"/>
        </w:rPr>
        <w:t>पंचवर्षीय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योजना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(2012-</w:t>
      </w:r>
      <w:r>
        <w:rPr>
          <w:rFonts w:ascii="Mangal" w:hAnsi="Mangal" w:cs="Mangal" w:hint="cs"/>
          <w:sz w:val="20"/>
          <w:szCs w:val="20"/>
          <w:cs/>
          <w:lang w:bidi="hi-IN"/>
        </w:rPr>
        <w:t>2017</w:t>
      </w:r>
      <w:r w:rsidRPr="00ED590A">
        <w:rPr>
          <w:rFonts w:ascii="Mangal" w:hAnsi="Mangal" w:cs="Mangal"/>
          <w:sz w:val="20"/>
          <w:szCs w:val="20"/>
        </w:rPr>
        <w:t xml:space="preserve">) </w:t>
      </w:r>
      <w:proofErr w:type="spellStart"/>
      <w:r w:rsidRPr="00ED590A">
        <w:rPr>
          <w:rFonts w:ascii="Mangal" w:hAnsi="Mangal" w:cs="Mangal"/>
          <w:sz w:val="20"/>
          <w:szCs w:val="20"/>
        </w:rPr>
        <w:t>लक्ष्य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88,537 </w:t>
      </w:r>
      <w:proofErr w:type="spellStart"/>
      <w:r w:rsidRPr="00ED590A">
        <w:rPr>
          <w:rFonts w:ascii="Mangal" w:hAnsi="Mangal" w:cs="Mangal"/>
          <w:sz w:val="20"/>
          <w:szCs w:val="20"/>
        </w:rPr>
        <w:t>मेगावाट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है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जिसमें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केंद्रीय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क्षेत्र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से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26,182 </w:t>
      </w:r>
      <w:proofErr w:type="spellStart"/>
      <w:r w:rsidRPr="00ED590A">
        <w:rPr>
          <w:rFonts w:ascii="Mangal" w:hAnsi="Mangal" w:cs="Mangal"/>
          <w:sz w:val="20"/>
          <w:szCs w:val="20"/>
        </w:rPr>
        <w:t>मेगावाट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ED590A">
        <w:rPr>
          <w:rFonts w:ascii="Mangal" w:hAnsi="Mangal" w:cs="Mangal"/>
          <w:sz w:val="20"/>
          <w:szCs w:val="20"/>
        </w:rPr>
        <w:t>राज्य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क्षेत्र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से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15530 </w:t>
      </w:r>
      <w:proofErr w:type="spellStart"/>
      <w:r w:rsidRPr="00ED590A">
        <w:rPr>
          <w:rFonts w:ascii="Mangal" w:hAnsi="Mangal" w:cs="Mangal"/>
          <w:sz w:val="20"/>
          <w:szCs w:val="20"/>
        </w:rPr>
        <w:t>मेगावाट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और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निजी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क्षेत्र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से</w:t>
      </w:r>
      <w:r w:rsidRPr="00ED590A">
        <w:rPr>
          <w:rFonts w:ascii="Mangal" w:hAnsi="Mangal" w:cs="Mangal"/>
          <w:sz w:val="20"/>
          <w:szCs w:val="20"/>
        </w:rPr>
        <w:t xml:space="preserve"> 46,825 </w:t>
      </w:r>
      <w:proofErr w:type="spellStart"/>
      <w:r w:rsidRPr="00ED590A">
        <w:rPr>
          <w:rFonts w:ascii="Mangal" w:hAnsi="Mangal" w:cs="Mangal"/>
          <w:sz w:val="20"/>
          <w:szCs w:val="20"/>
        </w:rPr>
        <w:t>मेगावाट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शामिल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है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। 31.10.2014 </w:t>
      </w:r>
      <w:proofErr w:type="spellStart"/>
      <w:r w:rsidRPr="00ED590A">
        <w:rPr>
          <w:rFonts w:ascii="Mangal" w:hAnsi="Mangal" w:cs="Mangal"/>
          <w:sz w:val="20"/>
          <w:szCs w:val="20"/>
        </w:rPr>
        <w:t>तक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कुल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क्षमता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अभिवृद्धि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लगभग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48,026 </w:t>
      </w:r>
      <w:proofErr w:type="spellStart"/>
      <w:r w:rsidRPr="00ED590A">
        <w:rPr>
          <w:rFonts w:ascii="Mangal" w:hAnsi="Mangal" w:cs="Mangal"/>
          <w:sz w:val="20"/>
          <w:szCs w:val="20"/>
        </w:rPr>
        <w:t>मेगावाट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है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ED590A">
        <w:rPr>
          <w:rFonts w:ascii="Mangal" w:hAnsi="Mangal" w:cs="Mangal"/>
          <w:sz w:val="20"/>
          <w:szCs w:val="20"/>
        </w:rPr>
        <w:t>जो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कि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लक्ष्य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54.2% </w:t>
      </w:r>
      <w:proofErr w:type="spellStart"/>
      <w:r w:rsidRPr="00ED590A">
        <w:rPr>
          <w:rFonts w:ascii="Mangal" w:hAnsi="Mangal" w:cs="Mangal"/>
          <w:sz w:val="20"/>
          <w:szCs w:val="20"/>
        </w:rPr>
        <w:t>है</w:t>
      </w:r>
      <w:proofErr w:type="spellEnd"/>
      <w:r w:rsidRPr="00ED590A">
        <w:rPr>
          <w:rFonts w:ascii="Mangal" w:hAnsi="Mangal" w:cs="Mangal"/>
          <w:sz w:val="20"/>
          <w:szCs w:val="20"/>
        </w:rPr>
        <w:t>।</w:t>
      </w:r>
      <w:r w:rsidRPr="00ED590A">
        <w:rPr>
          <w:sz w:val="20"/>
          <w:szCs w:val="20"/>
        </w:rPr>
        <w:t xml:space="preserve"> </w:t>
      </w:r>
    </w:p>
    <w:p w:rsidR="002E066C" w:rsidRPr="00ED590A" w:rsidRDefault="002E066C" w:rsidP="002E066C">
      <w:pPr>
        <w:jc w:val="both"/>
        <w:rPr>
          <w:sz w:val="20"/>
          <w:szCs w:val="20"/>
        </w:rPr>
      </w:pPr>
    </w:p>
    <w:p w:rsidR="002E066C" w:rsidRPr="00ED590A" w:rsidRDefault="002E066C" w:rsidP="002E066C">
      <w:pPr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ED590A">
        <w:rPr>
          <w:b/>
          <w:bCs/>
          <w:sz w:val="20"/>
          <w:szCs w:val="20"/>
        </w:rPr>
        <w:t>(</w:t>
      </w:r>
      <w:r w:rsidRPr="00ED590A">
        <w:rPr>
          <w:rFonts w:ascii="Mangal" w:hAnsi="Mangal" w:cs="Mangal"/>
          <w:b/>
          <w:bCs/>
          <w:sz w:val="20"/>
          <w:szCs w:val="20"/>
        </w:rPr>
        <w:t>ग</w:t>
      </w:r>
      <w:r w:rsidRPr="00ED590A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:</w:t>
      </w:r>
      <w:r w:rsidRPr="0078670D">
        <w:rPr>
          <w:rFonts w:cs="Mangal" w:hint="cs"/>
          <w:b/>
          <w:bCs/>
          <w:sz w:val="20"/>
          <w:szCs w:val="18"/>
          <w:cs/>
          <w:lang w:bidi="hi-IN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राष्ट्रीय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हित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में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देश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की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मांग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अनुसार</w:t>
      </w:r>
      <w:proofErr w:type="spellEnd"/>
      <w:r>
        <w:rPr>
          <w:rFonts w:ascii="Mangal" w:hAnsi="Mangal" w:cs="Mangal" w:hint="cs"/>
          <w:sz w:val="20"/>
          <w:szCs w:val="20"/>
          <w:cs/>
          <w:lang w:bidi="hi-IN"/>
        </w:rPr>
        <w:t>,</w:t>
      </w:r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कोयला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खनन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प्रचालनों</w:t>
      </w:r>
      <w:proofErr w:type="spellEnd"/>
      <w:r>
        <w:rPr>
          <w:rFonts w:ascii="Mangal" w:hAnsi="Mangal" w:cs="Mangal" w:hint="cs"/>
          <w:sz w:val="20"/>
          <w:szCs w:val="20"/>
          <w:cs/>
          <w:lang w:bidi="hi-IN"/>
        </w:rPr>
        <w:t xml:space="preserve"> और कोयले के उत्पादन</w:t>
      </w:r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की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निरंतरता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सुनिश्चित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करने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और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कोयला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संसाधनों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अधिकतम</w:t>
      </w:r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उपयोग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को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प्रोत्साहित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करने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तथा</w:t>
      </w:r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इससे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संबद्ध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अथवा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इसके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अनु</w:t>
      </w:r>
      <w:proofErr w:type="spellEnd"/>
      <w:r>
        <w:rPr>
          <w:rFonts w:ascii="Mangal" w:hAnsi="Mangal" w:cs="Mangal" w:hint="cs"/>
          <w:sz w:val="20"/>
          <w:szCs w:val="20"/>
          <w:cs/>
          <w:lang w:bidi="hi-IN"/>
        </w:rPr>
        <w:t>षं</w:t>
      </w:r>
      <w:proofErr w:type="spellStart"/>
      <w:r w:rsidRPr="00ED590A">
        <w:rPr>
          <w:rFonts w:ascii="Mangal" w:hAnsi="Mangal" w:cs="Mangal"/>
          <w:sz w:val="20"/>
          <w:szCs w:val="20"/>
        </w:rPr>
        <w:t>गिक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मामलों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मद्देनजर</w:t>
      </w:r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सफल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बोलीदाताओं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और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आबंटियों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को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खनन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पट्टे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साथ</w:t>
      </w:r>
      <w:proofErr w:type="spellEnd"/>
      <w:r>
        <w:rPr>
          <w:rFonts w:ascii="Mangal" w:hAnsi="Mangal" w:cs="Mangal" w:hint="cs"/>
          <w:sz w:val="20"/>
          <w:szCs w:val="20"/>
          <w:cs/>
          <w:lang w:bidi="hi-IN"/>
        </w:rPr>
        <w:t>-साथ</w:t>
      </w:r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अधिकार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ED590A">
        <w:rPr>
          <w:rFonts w:ascii="Mangal" w:hAnsi="Mangal" w:cs="Mangal"/>
          <w:sz w:val="20"/>
          <w:szCs w:val="20"/>
        </w:rPr>
        <w:t>शीर्षक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और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हित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को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निहित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करने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और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कोयला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खानों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आबंटन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की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व्यवस्था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करने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और इस भूमि पर अधिकार, टाइटिल एवं हिताधिकार प्रदान करने </w:t>
      </w:r>
      <w:proofErr w:type="spellStart"/>
      <w:r w:rsidRPr="00ED590A">
        <w:rPr>
          <w:rFonts w:ascii="Mangal" w:hAnsi="Mangal" w:cs="Mangal"/>
          <w:sz w:val="20"/>
          <w:szCs w:val="20"/>
        </w:rPr>
        <w:t>के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लिए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भारत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के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माननीय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राष्ट्रपति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द्वारा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दिनांक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21 </w:t>
      </w:r>
      <w:proofErr w:type="spellStart"/>
      <w:r w:rsidRPr="00ED590A">
        <w:rPr>
          <w:rFonts w:ascii="Mangal" w:hAnsi="Mangal" w:cs="Mangal"/>
          <w:sz w:val="20"/>
          <w:szCs w:val="20"/>
        </w:rPr>
        <w:t>अक्टूबर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, 2014 </w:t>
      </w:r>
      <w:proofErr w:type="spellStart"/>
      <w:r w:rsidRPr="00ED590A">
        <w:rPr>
          <w:rFonts w:ascii="Mangal" w:hAnsi="Mangal" w:cs="Mangal"/>
          <w:sz w:val="20"/>
          <w:szCs w:val="20"/>
        </w:rPr>
        <w:t>को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कोयला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खान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ED590A">
        <w:rPr>
          <w:rFonts w:ascii="Mangal" w:hAnsi="Mangal" w:cs="Mangal"/>
          <w:sz w:val="20"/>
          <w:szCs w:val="20"/>
        </w:rPr>
        <w:t>विशेष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प्रावधान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) </w:t>
      </w:r>
      <w:proofErr w:type="spellStart"/>
      <w:r w:rsidRPr="00ED590A">
        <w:rPr>
          <w:rFonts w:ascii="Mangal" w:hAnsi="Mangal" w:cs="Mangal"/>
          <w:sz w:val="20"/>
          <w:szCs w:val="20"/>
        </w:rPr>
        <w:t>अध्यादेश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, 2014 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प्रख्यापित </w:t>
      </w:r>
      <w:proofErr w:type="spellStart"/>
      <w:r w:rsidRPr="00ED590A">
        <w:rPr>
          <w:rFonts w:ascii="Mangal" w:hAnsi="Mangal" w:cs="Mangal"/>
          <w:sz w:val="20"/>
          <w:szCs w:val="20"/>
        </w:rPr>
        <w:t>किया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गया</w:t>
      </w:r>
      <w:proofErr w:type="spellEnd"/>
      <w:r w:rsidRPr="00ED590A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ED590A">
        <w:rPr>
          <w:rFonts w:ascii="Mangal" w:hAnsi="Mangal" w:cs="Mangal"/>
          <w:sz w:val="20"/>
          <w:szCs w:val="20"/>
        </w:rPr>
        <w:t>था</w:t>
      </w:r>
      <w:proofErr w:type="spellEnd"/>
      <w:r w:rsidRPr="00ED590A">
        <w:rPr>
          <w:rFonts w:ascii="Mangal" w:hAnsi="Mangal" w:cs="Mangal"/>
          <w:sz w:val="20"/>
          <w:szCs w:val="20"/>
        </w:rPr>
        <w:t>।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</w:p>
    <w:p w:rsidR="002E066C" w:rsidRPr="00ED590A" w:rsidRDefault="002E066C" w:rsidP="002E066C">
      <w:pPr>
        <w:ind w:left="360" w:hanging="90"/>
        <w:jc w:val="center"/>
        <w:rPr>
          <w:sz w:val="20"/>
          <w:szCs w:val="20"/>
        </w:rPr>
      </w:pPr>
      <w:r w:rsidRPr="00ED590A">
        <w:rPr>
          <w:sz w:val="20"/>
          <w:szCs w:val="20"/>
        </w:rPr>
        <w:t>*********</w:t>
      </w:r>
    </w:p>
    <w:p w:rsidR="00DD7AA0" w:rsidRDefault="00DD7AA0"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AF"/>
    <w:rsid w:val="002E066C"/>
    <w:rsid w:val="0068540F"/>
    <w:rsid w:val="00A256AF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2014-11-21T21:00:00Z</dcterms:created>
  <dcterms:modified xsi:type="dcterms:W3CDTF">2014-11-21T21:00:00Z</dcterms:modified>
</cp:coreProperties>
</file>