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29" w:rsidRPr="00A635AD" w:rsidRDefault="007B4129" w:rsidP="007B4129">
      <w:pPr>
        <w:spacing w:line="192" w:lineRule="auto"/>
        <w:jc w:val="center"/>
        <w:rPr>
          <w:b/>
          <w:bCs/>
          <w:sz w:val="23"/>
          <w:szCs w:val="23"/>
        </w:rPr>
      </w:pPr>
      <w:r w:rsidRPr="00A635AD">
        <w:rPr>
          <w:b/>
          <w:bCs/>
          <w:sz w:val="23"/>
          <w:szCs w:val="23"/>
          <w:cs/>
        </w:rPr>
        <w:t xml:space="preserve">भारत सरकार </w:t>
      </w:r>
    </w:p>
    <w:p w:rsidR="007B4129" w:rsidRPr="00210890" w:rsidRDefault="007B4129" w:rsidP="007B4129">
      <w:pPr>
        <w:spacing w:line="192" w:lineRule="auto"/>
        <w:jc w:val="center"/>
        <w:rPr>
          <w:sz w:val="23"/>
          <w:szCs w:val="23"/>
        </w:rPr>
      </w:pPr>
      <w:r w:rsidRPr="00210890">
        <w:rPr>
          <w:sz w:val="23"/>
          <w:szCs w:val="23"/>
          <w:cs/>
        </w:rPr>
        <w:t>मानव संसाधन विकास मंत्रालय</w:t>
      </w:r>
    </w:p>
    <w:p w:rsidR="007B4129" w:rsidRPr="00210890" w:rsidRDefault="007B4129" w:rsidP="007B4129">
      <w:pPr>
        <w:jc w:val="center"/>
        <w:rPr>
          <w:sz w:val="23"/>
          <w:szCs w:val="23"/>
        </w:rPr>
      </w:pPr>
      <w:r>
        <w:rPr>
          <w:rFonts w:hint="cs"/>
          <w:sz w:val="23"/>
          <w:szCs w:val="23"/>
          <w:cs/>
        </w:rPr>
        <w:t>उच्‍चतर</w:t>
      </w:r>
      <w:r w:rsidRPr="00210890">
        <w:rPr>
          <w:rFonts w:hint="cs"/>
          <w:sz w:val="23"/>
          <w:szCs w:val="23"/>
          <w:cs/>
        </w:rPr>
        <w:t xml:space="preserve"> </w:t>
      </w:r>
      <w:r w:rsidRPr="00210890">
        <w:rPr>
          <w:sz w:val="23"/>
          <w:szCs w:val="23"/>
          <w:cs/>
        </w:rPr>
        <w:t>शिक्षा विभाग</w:t>
      </w:r>
    </w:p>
    <w:p w:rsidR="007B4129" w:rsidRPr="00210890" w:rsidRDefault="007B4129" w:rsidP="007B4129">
      <w:pPr>
        <w:spacing w:line="192" w:lineRule="auto"/>
        <w:jc w:val="center"/>
        <w:rPr>
          <w:rFonts w:hint="cs"/>
          <w:sz w:val="23"/>
          <w:szCs w:val="23"/>
        </w:rPr>
      </w:pPr>
    </w:p>
    <w:p w:rsidR="007B4129" w:rsidRPr="00A635AD" w:rsidRDefault="007B4129" w:rsidP="007B4129">
      <w:pPr>
        <w:spacing w:line="192" w:lineRule="auto"/>
        <w:jc w:val="center"/>
        <w:rPr>
          <w:rFonts w:hint="cs"/>
          <w:b/>
          <w:bCs/>
          <w:sz w:val="23"/>
          <w:szCs w:val="23"/>
        </w:rPr>
      </w:pPr>
    </w:p>
    <w:p w:rsidR="007B4129" w:rsidRPr="00A635AD" w:rsidRDefault="007B4129" w:rsidP="007B4129">
      <w:pPr>
        <w:spacing w:line="192" w:lineRule="auto"/>
        <w:jc w:val="center"/>
        <w:rPr>
          <w:b/>
          <w:bCs/>
          <w:sz w:val="23"/>
          <w:szCs w:val="23"/>
          <w:cs/>
        </w:rPr>
      </w:pPr>
      <w:r w:rsidRPr="00A635AD">
        <w:rPr>
          <w:b/>
          <w:bCs/>
          <w:sz w:val="23"/>
          <w:szCs w:val="23"/>
          <w:cs/>
        </w:rPr>
        <w:t>राज्‍य सभा</w:t>
      </w:r>
    </w:p>
    <w:p w:rsidR="007B4129" w:rsidRPr="00210890" w:rsidRDefault="007B4129" w:rsidP="007B4129">
      <w:pPr>
        <w:spacing w:line="192" w:lineRule="auto"/>
        <w:jc w:val="center"/>
        <w:rPr>
          <w:rFonts w:hint="cs"/>
          <w:sz w:val="23"/>
          <w:szCs w:val="23"/>
          <w:cs/>
        </w:rPr>
      </w:pPr>
      <w:r w:rsidRPr="00210890">
        <w:rPr>
          <w:sz w:val="23"/>
          <w:szCs w:val="23"/>
          <w:cs/>
        </w:rPr>
        <w:t xml:space="preserve">अतारांकित प्रश्‍न संख्‍या: </w:t>
      </w:r>
      <w:r>
        <w:rPr>
          <w:rFonts w:hint="cs"/>
          <w:sz w:val="23"/>
          <w:szCs w:val="23"/>
          <w:cs/>
        </w:rPr>
        <w:t>4</w:t>
      </w:r>
      <w:r w:rsidRPr="00210890">
        <w:rPr>
          <w:rFonts w:hint="cs"/>
          <w:sz w:val="23"/>
          <w:szCs w:val="23"/>
          <w:cs/>
        </w:rPr>
        <w:t>5</w:t>
      </w:r>
    </w:p>
    <w:p w:rsidR="007B4129" w:rsidRPr="00210890" w:rsidRDefault="007B4129" w:rsidP="007B4129">
      <w:pPr>
        <w:spacing w:line="192" w:lineRule="auto"/>
        <w:jc w:val="center"/>
        <w:rPr>
          <w:rFonts w:hint="cs"/>
          <w:sz w:val="23"/>
          <w:szCs w:val="23"/>
        </w:rPr>
      </w:pPr>
      <w:r w:rsidRPr="00210890">
        <w:rPr>
          <w:sz w:val="23"/>
          <w:szCs w:val="23"/>
          <w:cs/>
        </w:rPr>
        <w:t>उत्‍तर देने की तारीख :</w:t>
      </w:r>
      <w:r w:rsidRPr="00210890">
        <w:rPr>
          <w:rFonts w:hint="cs"/>
          <w:sz w:val="23"/>
          <w:szCs w:val="23"/>
          <w:cs/>
        </w:rPr>
        <w:t xml:space="preserve"> 24</w:t>
      </w:r>
      <w:r>
        <w:rPr>
          <w:rFonts w:hint="cs"/>
          <w:sz w:val="23"/>
          <w:szCs w:val="23"/>
          <w:cs/>
        </w:rPr>
        <w:t>.11.</w:t>
      </w:r>
      <w:r w:rsidRPr="00210890">
        <w:rPr>
          <w:sz w:val="23"/>
          <w:szCs w:val="23"/>
        </w:rPr>
        <w:t xml:space="preserve"> </w:t>
      </w:r>
      <w:r w:rsidRPr="00210890">
        <w:rPr>
          <w:sz w:val="23"/>
          <w:szCs w:val="23"/>
          <w:cs/>
        </w:rPr>
        <w:t>2014</w:t>
      </w:r>
    </w:p>
    <w:p w:rsidR="007B4129" w:rsidRPr="00210890" w:rsidRDefault="007B4129" w:rsidP="007B4129">
      <w:pPr>
        <w:spacing w:line="192" w:lineRule="auto"/>
        <w:jc w:val="center"/>
        <w:rPr>
          <w:rFonts w:hint="cs"/>
          <w:sz w:val="23"/>
          <w:szCs w:val="23"/>
        </w:rPr>
      </w:pPr>
    </w:p>
    <w:p w:rsidR="007B4129" w:rsidRPr="00210890" w:rsidRDefault="007B4129" w:rsidP="007B4129">
      <w:pPr>
        <w:jc w:val="center"/>
        <w:rPr>
          <w:rFonts w:hint="cs"/>
          <w:b/>
          <w:bCs/>
          <w:sz w:val="23"/>
          <w:szCs w:val="23"/>
        </w:rPr>
      </w:pPr>
    </w:p>
    <w:p w:rsidR="007B4129" w:rsidRDefault="007B4129" w:rsidP="007B4129">
      <w:pPr>
        <w:spacing w:line="192" w:lineRule="auto"/>
        <w:jc w:val="center"/>
        <w:rPr>
          <w:rFonts w:hint="cs"/>
          <w:b/>
          <w:bCs/>
          <w:sz w:val="23"/>
          <w:szCs w:val="23"/>
        </w:rPr>
      </w:pPr>
      <w:r w:rsidRPr="00826ED9">
        <w:rPr>
          <w:b/>
          <w:bCs/>
          <w:sz w:val="23"/>
          <w:szCs w:val="23"/>
          <w:cs/>
        </w:rPr>
        <w:t>अन्य पिछड़े वर्गों से संबंधित विद्यार्थियों को</w:t>
      </w:r>
      <w:r>
        <w:rPr>
          <w:rFonts w:hint="cs"/>
          <w:b/>
          <w:bCs/>
          <w:sz w:val="23"/>
          <w:szCs w:val="23"/>
          <w:cs/>
        </w:rPr>
        <w:t xml:space="preserve"> </w:t>
      </w:r>
      <w:r w:rsidRPr="00826ED9">
        <w:rPr>
          <w:b/>
          <w:bCs/>
          <w:sz w:val="23"/>
          <w:szCs w:val="23"/>
          <w:cs/>
        </w:rPr>
        <w:t>छात्रवृत्ति देने हेतु व्यय</w:t>
      </w:r>
    </w:p>
    <w:p w:rsidR="007B4129" w:rsidRPr="00826ED9" w:rsidRDefault="007B4129" w:rsidP="007B4129">
      <w:pPr>
        <w:spacing w:line="192" w:lineRule="auto"/>
        <w:jc w:val="center"/>
        <w:rPr>
          <w:rFonts w:hint="cs"/>
          <w:b/>
          <w:bCs/>
          <w:sz w:val="23"/>
          <w:szCs w:val="23"/>
        </w:rPr>
      </w:pPr>
    </w:p>
    <w:p w:rsidR="007B4129" w:rsidRDefault="007B4129" w:rsidP="007B4129">
      <w:pPr>
        <w:spacing w:line="192" w:lineRule="auto"/>
        <w:jc w:val="both"/>
        <w:rPr>
          <w:rFonts w:hint="cs"/>
          <w:b/>
          <w:bCs/>
          <w:sz w:val="23"/>
          <w:szCs w:val="23"/>
        </w:rPr>
      </w:pPr>
    </w:p>
    <w:p w:rsidR="007B4129" w:rsidRDefault="007B4129" w:rsidP="007B4129">
      <w:pPr>
        <w:spacing w:line="192" w:lineRule="auto"/>
        <w:jc w:val="both"/>
        <w:rPr>
          <w:rFonts w:hint="cs"/>
          <w:b/>
          <w:bCs/>
          <w:sz w:val="23"/>
          <w:szCs w:val="23"/>
        </w:rPr>
      </w:pPr>
      <w:r w:rsidRPr="00826ED9">
        <w:rPr>
          <w:b/>
          <w:bCs/>
          <w:sz w:val="23"/>
          <w:szCs w:val="23"/>
          <w:cs/>
        </w:rPr>
        <w:t xml:space="preserve">45. श्री नरेन्द्र कुमार कश्यपः </w:t>
      </w:r>
    </w:p>
    <w:p w:rsidR="007B4129" w:rsidRDefault="007B4129" w:rsidP="007B4129">
      <w:pPr>
        <w:spacing w:line="192" w:lineRule="auto"/>
        <w:jc w:val="both"/>
        <w:rPr>
          <w:rFonts w:hint="cs"/>
          <w:b/>
          <w:bCs/>
          <w:sz w:val="23"/>
          <w:szCs w:val="23"/>
        </w:rPr>
      </w:pPr>
    </w:p>
    <w:p w:rsidR="007B4129" w:rsidRDefault="007B4129" w:rsidP="007B4129">
      <w:pPr>
        <w:spacing w:line="192" w:lineRule="auto"/>
        <w:ind w:firstLine="720"/>
        <w:jc w:val="both"/>
        <w:rPr>
          <w:rFonts w:hint="cs"/>
          <w:sz w:val="23"/>
          <w:szCs w:val="23"/>
        </w:rPr>
      </w:pPr>
    </w:p>
    <w:p w:rsidR="007B4129" w:rsidRPr="003D1978" w:rsidRDefault="007B4129" w:rsidP="007B4129">
      <w:pPr>
        <w:spacing w:line="192" w:lineRule="auto"/>
        <w:ind w:firstLine="720"/>
        <w:jc w:val="both"/>
        <w:rPr>
          <w:rFonts w:hint="cs"/>
          <w:sz w:val="23"/>
          <w:szCs w:val="23"/>
        </w:rPr>
      </w:pPr>
      <w:r w:rsidRPr="003D1978">
        <w:rPr>
          <w:sz w:val="23"/>
          <w:szCs w:val="23"/>
          <w:cs/>
        </w:rPr>
        <w:t>क्या मानव</w:t>
      </w:r>
      <w:r w:rsidRPr="003D1978">
        <w:rPr>
          <w:rFonts w:hint="cs"/>
          <w:sz w:val="23"/>
          <w:szCs w:val="23"/>
          <w:cs/>
        </w:rPr>
        <w:t xml:space="preserve"> </w:t>
      </w:r>
      <w:r w:rsidRPr="003D1978">
        <w:rPr>
          <w:sz w:val="23"/>
          <w:szCs w:val="23"/>
          <w:cs/>
        </w:rPr>
        <w:t>संसाधन विकास मंत्री यह बताने की कृपा करेंगे</w:t>
      </w:r>
      <w:r w:rsidRPr="003D1978">
        <w:rPr>
          <w:rFonts w:hint="cs"/>
          <w:sz w:val="23"/>
          <w:szCs w:val="23"/>
          <w:cs/>
        </w:rPr>
        <w:t xml:space="preserve"> </w:t>
      </w:r>
      <w:r w:rsidRPr="003D1978">
        <w:rPr>
          <w:sz w:val="23"/>
          <w:szCs w:val="23"/>
          <w:cs/>
        </w:rPr>
        <w:t>कि:</w:t>
      </w:r>
    </w:p>
    <w:p w:rsidR="007B4129" w:rsidRPr="003D1978" w:rsidRDefault="007B4129" w:rsidP="007B4129">
      <w:pPr>
        <w:spacing w:line="192" w:lineRule="auto"/>
        <w:ind w:firstLine="720"/>
        <w:jc w:val="both"/>
        <w:rPr>
          <w:rFonts w:hint="cs"/>
          <w:sz w:val="23"/>
          <w:szCs w:val="23"/>
        </w:rPr>
      </w:pPr>
    </w:p>
    <w:p w:rsidR="007B4129" w:rsidRDefault="007B4129" w:rsidP="007B4129">
      <w:pPr>
        <w:spacing w:line="192" w:lineRule="auto"/>
        <w:jc w:val="both"/>
        <w:rPr>
          <w:rFonts w:hint="cs"/>
          <w:sz w:val="23"/>
          <w:szCs w:val="23"/>
        </w:rPr>
      </w:pPr>
      <w:r w:rsidRPr="003D1978">
        <w:rPr>
          <w:sz w:val="23"/>
          <w:szCs w:val="23"/>
          <w:cs/>
        </w:rPr>
        <w:t>देश में अन्य पिछड़े वर्गों के छात्र-छात्राओं का छात्रवृत्ति देने के लिए पिछले दस वर्षों में खर्च की</w:t>
      </w:r>
      <w:r w:rsidRPr="003D1978">
        <w:rPr>
          <w:rFonts w:hint="cs"/>
          <w:sz w:val="23"/>
          <w:szCs w:val="23"/>
          <w:cs/>
        </w:rPr>
        <w:t xml:space="preserve"> </w:t>
      </w:r>
      <w:r w:rsidRPr="003D1978">
        <w:rPr>
          <w:sz w:val="23"/>
          <w:szCs w:val="23"/>
          <w:cs/>
        </w:rPr>
        <w:t>गई धनराशि का ब्यौरा क्या है</w:t>
      </w:r>
      <w:r w:rsidRPr="003D1978">
        <w:rPr>
          <w:sz w:val="23"/>
          <w:szCs w:val="23"/>
        </w:rPr>
        <w:t>?</w:t>
      </w:r>
    </w:p>
    <w:p w:rsidR="007B4129" w:rsidRPr="003D1978" w:rsidRDefault="007B4129" w:rsidP="007B4129">
      <w:pPr>
        <w:spacing w:line="192" w:lineRule="auto"/>
        <w:ind w:firstLine="720"/>
        <w:jc w:val="both"/>
        <w:rPr>
          <w:rFonts w:hint="cs"/>
          <w:sz w:val="23"/>
          <w:szCs w:val="23"/>
        </w:rPr>
      </w:pPr>
    </w:p>
    <w:p w:rsidR="007B4129" w:rsidRPr="00210890" w:rsidRDefault="007B4129" w:rsidP="007B4129">
      <w:pPr>
        <w:spacing w:line="192" w:lineRule="auto"/>
        <w:jc w:val="both"/>
        <w:rPr>
          <w:rFonts w:hint="cs"/>
          <w:sz w:val="23"/>
          <w:szCs w:val="23"/>
          <w:cs/>
        </w:rPr>
      </w:pPr>
    </w:p>
    <w:p w:rsidR="007B4129" w:rsidRPr="00210890" w:rsidRDefault="007B4129" w:rsidP="007B4129">
      <w:pPr>
        <w:jc w:val="center"/>
        <w:rPr>
          <w:b/>
          <w:bCs/>
          <w:sz w:val="23"/>
          <w:szCs w:val="23"/>
        </w:rPr>
      </w:pPr>
      <w:r w:rsidRPr="00210890">
        <w:rPr>
          <w:rFonts w:ascii="Mangal" w:hAnsi="Mangal"/>
          <w:b/>
          <w:bCs/>
          <w:sz w:val="23"/>
          <w:szCs w:val="23"/>
          <w:cs/>
        </w:rPr>
        <w:t>उत्तर</w:t>
      </w:r>
    </w:p>
    <w:p w:rsidR="007B4129" w:rsidRPr="00210890" w:rsidRDefault="007B4129" w:rsidP="007B4129">
      <w:pPr>
        <w:jc w:val="center"/>
        <w:rPr>
          <w:b/>
          <w:bCs/>
          <w:sz w:val="23"/>
          <w:szCs w:val="23"/>
        </w:rPr>
      </w:pPr>
      <w:r w:rsidRPr="00210890">
        <w:rPr>
          <w:rFonts w:ascii="Mangal" w:hAnsi="Mangal"/>
          <w:b/>
          <w:bCs/>
          <w:sz w:val="23"/>
          <w:szCs w:val="23"/>
          <w:cs/>
        </w:rPr>
        <w:t>मानव</w:t>
      </w:r>
      <w:r w:rsidRPr="00210890">
        <w:rPr>
          <w:rFonts w:hint="cs"/>
          <w:b/>
          <w:bCs/>
          <w:sz w:val="23"/>
          <w:szCs w:val="23"/>
          <w:cs/>
        </w:rPr>
        <w:t xml:space="preserve"> </w:t>
      </w:r>
      <w:r w:rsidRPr="00210890">
        <w:rPr>
          <w:rFonts w:ascii="Mangal" w:hAnsi="Mangal"/>
          <w:b/>
          <w:bCs/>
          <w:sz w:val="23"/>
          <w:szCs w:val="23"/>
          <w:cs/>
        </w:rPr>
        <w:t>संसाधन</w:t>
      </w:r>
      <w:r w:rsidRPr="00210890">
        <w:rPr>
          <w:rFonts w:hint="cs"/>
          <w:b/>
          <w:bCs/>
          <w:sz w:val="23"/>
          <w:szCs w:val="23"/>
          <w:cs/>
        </w:rPr>
        <w:t xml:space="preserve"> </w:t>
      </w:r>
      <w:r w:rsidRPr="00210890">
        <w:rPr>
          <w:rFonts w:ascii="Mangal" w:hAnsi="Mangal"/>
          <w:b/>
          <w:bCs/>
          <w:sz w:val="23"/>
          <w:szCs w:val="23"/>
          <w:cs/>
        </w:rPr>
        <w:t>विकास</w:t>
      </w:r>
      <w:r>
        <w:rPr>
          <w:rFonts w:ascii="Mangal" w:hAnsi="Mangal" w:hint="cs"/>
          <w:b/>
          <w:bCs/>
          <w:sz w:val="23"/>
          <w:szCs w:val="23"/>
          <w:cs/>
        </w:rPr>
        <w:t xml:space="preserve"> मंत्रालय में राज्‍य</w:t>
      </w:r>
      <w:r w:rsidRPr="00210890">
        <w:rPr>
          <w:rFonts w:ascii="Mangal" w:hAnsi="Mangal"/>
          <w:b/>
          <w:bCs/>
          <w:sz w:val="23"/>
          <w:szCs w:val="23"/>
          <w:cs/>
        </w:rPr>
        <w:t>मंत्री</w:t>
      </w:r>
    </w:p>
    <w:p w:rsidR="007B4129" w:rsidRPr="00F83D60" w:rsidRDefault="007B4129" w:rsidP="007B4129">
      <w:pPr>
        <w:jc w:val="center"/>
        <w:rPr>
          <w:rFonts w:hint="cs"/>
          <w:b/>
          <w:bCs/>
        </w:rPr>
      </w:pPr>
      <w:r>
        <w:rPr>
          <w:b/>
          <w:bCs/>
          <w:cs/>
        </w:rPr>
        <w:t>(प्रो</w:t>
      </w:r>
      <w:r>
        <w:rPr>
          <w:rFonts w:hint="cs"/>
          <w:b/>
          <w:bCs/>
          <w:cs/>
        </w:rPr>
        <w:t>. (डॉ.) राम शंकर कठेरिया)</w:t>
      </w:r>
    </w:p>
    <w:p w:rsidR="007B4129" w:rsidRPr="00210890" w:rsidRDefault="007B4129" w:rsidP="007B4129">
      <w:pPr>
        <w:jc w:val="center"/>
        <w:rPr>
          <w:rFonts w:hint="cs"/>
          <w:sz w:val="23"/>
          <w:szCs w:val="23"/>
        </w:rPr>
      </w:pPr>
    </w:p>
    <w:p w:rsidR="007B4129" w:rsidRDefault="007B4129" w:rsidP="007B4129">
      <w:pPr>
        <w:jc w:val="both"/>
        <w:rPr>
          <w:rFonts w:hint="cs"/>
          <w:sz w:val="23"/>
          <w:szCs w:val="23"/>
        </w:rPr>
      </w:pPr>
      <w:r>
        <w:rPr>
          <w:rFonts w:hint="cs"/>
          <w:sz w:val="23"/>
          <w:szCs w:val="23"/>
          <w:cs/>
        </w:rPr>
        <w:t xml:space="preserve">सामाजिक न्‍याय और अधिकारिता मंत्रालय पिछड़ा वर्ग के छात्रों के लिए दो विशिष्‍ट योजनाएं अर्थात मैट्रिक-पूर्व और मैट्रिक-बाद छात्रवृत्ति प्रदान करता है। छात्रवृत्ति पर गत दस वर्षों के दौरान व्‍यय की गई राशि का मंत्रालय द्वारा उपलब्‍ध कराया गया विवरण नीचे दिया गया है:- </w:t>
      </w:r>
    </w:p>
    <w:p w:rsidR="007B4129" w:rsidRDefault="007B4129" w:rsidP="007B4129">
      <w:pPr>
        <w:jc w:val="both"/>
        <w:rPr>
          <w:rFonts w:hint="cs"/>
          <w:sz w:val="23"/>
          <w:szCs w:val="23"/>
        </w:rPr>
      </w:pPr>
    </w:p>
    <w:tbl>
      <w:tblPr>
        <w:tblStyle w:val="TableGrid"/>
        <w:tblW w:w="0" w:type="auto"/>
        <w:tblLook w:val="01E0"/>
      </w:tblPr>
      <w:tblGrid>
        <w:gridCol w:w="1728"/>
        <w:gridCol w:w="3420"/>
        <w:gridCol w:w="3374"/>
      </w:tblGrid>
      <w:tr w:rsidR="007B4129" w:rsidTr="00E41453">
        <w:tc>
          <w:tcPr>
            <w:tcW w:w="1728" w:type="dxa"/>
            <w:vMerge w:val="restart"/>
          </w:tcPr>
          <w:p w:rsidR="007B4129" w:rsidRDefault="007B4129" w:rsidP="00E41453">
            <w:pPr>
              <w:jc w:val="both"/>
              <w:rPr>
                <w:rFonts w:hint="cs"/>
                <w:sz w:val="23"/>
                <w:szCs w:val="23"/>
              </w:rPr>
            </w:pPr>
          </w:p>
          <w:p w:rsidR="007B4129" w:rsidRDefault="007B4129" w:rsidP="00E41453">
            <w:pPr>
              <w:jc w:val="both"/>
              <w:rPr>
                <w:rFonts w:hint="cs"/>
                <w:sz w:val="23"/>
                <w:szCs w:val="23"/>
              </w:rPr>
            </w:pPr>
          </w:p>
          <w:p w:rsidR="007B4129" w:rsidRDefault="007B4129" w:rsidP="00E41453">
            <w:pPr>
              <w:jc w:val="center"/>
              <w:rPr>
                <w:rFonts w:hint="cs"/>
                <w:sz w:val="23"/>
                <w:szCs w:val="23"/>
              </w:rPr>
            </w:pPr>
            <w:r>
              <w:rPr>
                <w:rFonts w:hint="cs"/>
                <w:sz w:val="23"/>
                <w:szCs w:val="23"/>
                <w:cs/>
              </w:rPr>
              <w:t>वर्ष</w:t>
            </w:r>
          </w:p>
        </w:tc>
        <w:tc>
          <w:tcPr>
            <w:tcW w:w="6794" w:type="dxa"/>
            <w:gridSpan w:val="2"/>
          </w:tcPr>
          <w:p w:rsidR="007B4129" w:rsidRDefault="007B4129" w:rsidP="00E41453">
            <w:pPr>
              <w:jc w:val="center"/>
              <w:rPr>
                <w:rFonts w:hint="cs"/>
                <w:sz w:val="23"/>
                <w:szCs w:val="23"/>
              </w:rPr>
            </w:pPr>
            <w:r>
              <w:rPr>
                <w:rFonts w:hint="cs"/>
                <w:sz w:val="23"/>
                <w:szCs w:val="23"/>
                <w:cs/>
              </w:rPr>
              <w:t xml:space="preserve">छात्रवृत्ति योजनाओं के तहत व्‍यय </w:t>
            </w:r>
          </w:p>
          <w:p w:rsidR="007B4129" w:rsidRDefault="007B4129" w:rsidP="00E41453">
            <w:pPr>
              <w:jc w:val="center"/>
              <w:rPr>
                <w:rFonts w:hint="cs"/>
                <w:sz w:val="23"/>
                <w:szCs w:val="23"/>
              </w:rPr>
            </w:pPr>
            <w:r>
              <w:rPr>
                <w:rFonts w:hint="cs"/>
                <w:sz w:val="23"/>
                <w:szCs w:val="23"/>
                <w:cs/>
              </w:rPr>
              <w:t>(रूपए करोड़ में)</w:t>
            </w:r>
          </w:p>
        </w:tc>
      </w:tr>
      <w:tr w:rsidR="007B4129" w:rsidTr="00E41453">
        <w:tc>
          <w:tcPr>
            <w:tcW w:w="1728" w:type="dxa"/>
            <w:vMerge/>
          </w:tcPr>
          <w:p w:rsidR="007B4129" w:rsidRDefault="007B4129" w:rsidP="00E41453">
            <w:pPr>
              <w:jc w:val="both"/>
              <w:rPr>
                <w:rFonts w:hint="cs"/>
                <w:sz w:val="23"/>
                <w:szCs w:val="23"/>
              </w:rPr>
            </w:pPr>
          </w:p>
        </w:tc>
        <w:tc>
          <w:tcPr>
            <w:tcW w:w="3420" w:type="dxa"/>
          </w:tcPr>
          <w:p w:rsidR="007B4129" w:rsidRDefault="007B4129" w:rsidP="00E41453">
            <w:pPr>
              <w:jc w:val="center"/>
              <w:rPr>
                <w:rFonts w:hint="cs"/>
                <w:sz w:val="23"/>
                <w:szCs w:val="23"/>
              </w:rPr>
            </w:pPr>
            <w:r>
              <w:rPr>
                <w:rFonts w:hint="cs"/>
                <w:sz w:val="23"/>
                <w:szCs w:val="23"/>
                <w:cs/>
              </w:rPr>
              <w:t>मैट्रिक-पूर्व छात्रवृत्ति</w:t>
            </w:r>
          </w:p>
        </w:tc>
        <w:tc>
          <w:tcPr>
            <w:tcW w:w="3374" w:type="dxa"/>
          </w:tcPr>
          <w:p w:rsidR="007B4129" w:rsidRDefault="007B4129" w:rsidP="00E41453">
            <w:pPr>
              <w:jc w:val="center"/>
              <w:rPr>
                <w:rFonts w:hint="cs"/>
                <w:sz w:val="23"/>
                <w:szCs w:val="23"/>
              </w:rPr>
            </w:pPr>
            <w:r>
              <w:rPr>
                <w:rFonts w:hint="cs"/>
                <w:sz w:val="23"/>
                <w:szCs w:val="23"/>
                <w:cs/>
              </w:rPr>
              <w:t>मैट्रिक-बाद छात्रवृत्ति</w:t>
            </w:r>
          </w:p>
        </w:tc>
      </w:tr>
      <w:tr w:rsidR="007B4129" w:rsidTr="00E41453">
        <w:tc>
          <w:tcPr>
            <w:tcW w:w="1728"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2004-05</w:t>
            </w:r>
          </w:p>
        </w:tc>
        <w:tc>
          <w:tcPr>
            <w:tcW w:w="3420"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18.75</w:t>
            </w:r>
          </w:p>
        </w:tc>
        <w:tc>
          <w:tcPr>
            <w:tcW w:w="3374"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24.67</w:t>
            </w:r>
          </w:p>
        </w:tc>
      </w:tr>
      <w:tr w:rsidR="007B4129" w:rsidTr="00E41453">
        <w:tc>
          <w:tcPr>
            <w:tcW w:w="1728"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2005-06</w:t>
            </w:r>
          </w:p>
        </w:tc>
        <w:tc>
          <w:tcPr>
            <w:tcW w:w="3420"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19.71</w:t>
            </w:r>
          </w:p>
        </w:tc>
        <w:tc>
          <w:tcPr>
            <w:tcW w:w="3374"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26.41</w:t>
            </w:r>
          </w:p>
        </w:tc>
      </w:tr>
      <w:tr w:rsidR="007B4129" w:rsidTr="00E41453">
        <w:tc>
          <w:tcPr>
            <w:tcW w:w="1728"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2006-07</w:t>
            </w:r>
          </w:p>
        </w:tc>
        <w:tc>
          <w:tcPr>
            <w:tcW w:w="3420"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25.27</w:t>
            </w:r>
          </w:p>
        </w:tc>
        <w:tc>
          <w:tcPr>
            <w:tcW w:w="3374"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28.04</w:t>
            </w:r>
          </w:p>
        </w:tc>
      </w:tr>
      <w:tr w:rsidR="007B4129" w:rsidTr="00E41453">
        <w:tc>
          <w:tcPr>
            <w:tcW w:w="1728"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2007-08</w:t>
            </w:r>
          </w:p>
        </w:tc>
        <w:tc>
          <w:tcPr>
            <w:tcW w:w="3420"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24.99</w:t>
            </w:r>
          </w:p>
        </w:tc>
        <w:tc>
          <w:tcPr>
            <w:tcW w:w="3374"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125.17</w:t>
            </w:r>
          </w:p>
        </w:tc>
      </w:tr>
      <w:tr w:rsidR="007B4129" w:rsidTr="00E41453">
        <w:tc>
          <w:tcPr>
            <w:tcW w:w="1728"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2008-09</w:t>
            </w:r>
          </w:p>
        </w:tc>
        <w:tc>
          <w:tcPr>
            <w:tcW w:w="3420"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32.17</w:t>
            </w:r>
          </w:p>
        </w:tc>
        <w:tc>
          <w:tcPr>
            <w:tcW w:w="3374"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180.00</w:t>
            </w:r>
          </w:p>
        </w:tc>
      </w:tr>
      <w:tr w:rsidR="007B4129" w:rsidTr="00E41453">
        <w:tc>
          <w:tcPr>
            <w:tcW w:w="1728"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2009-10</w:t>
            </w:r>
          </w:p>
        </w:tc>
        <w:tc>
          <w:tcPr>
            <w:tcW w:w="3420"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31.54</w:t>
            </w:r>
          </w:p>
        </w:tc>
        <w:tc>
          <w:tcPr>
            <w:tcW w:w="3374"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172.97</w:t>
            </w:r>
          </w:p>
        </w:tc>
      </w:tr>
      <w:tr w:rsidR="007B4129" w:rsidTr="00E41453">
        <w:tc>
          <w:tcPr>
            <w:tcW w:w="1728"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2010-11</w:t>
            </w:r>
          </w:p>
        </w:tc>
        <w:tc>
          <w:tcPr>
            <w:tcW w:w="3420"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44.71</w:t>
            </w:r>
          </w:p>
        </w:tc>
        <w:tc>
          <w:tcPr>
            <w:tcW w:w="3374"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353.32</w:t>
            </w:r>
          </w:p>
        </w:tc>
      </w:tr>
      <w:tr w:rsidR="007B4129" w:rsidTr="00E41453">
        <w:tc>
          <w:tcPr>
            <w:tcW w:w="1728"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2011-12</w:t>
            </w:r>
          </w:p>
        </w:tc>
        <w:tc>
          <w:tcPr>
            <w:tcW w:w="3420"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40.69</w:t>
            </w:r>
          </w:p>
        </w:tc>
        <w:tc>
          <w:tcPr>
            <w:tcW w:w="3374"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527.99</w:t>
            </w:r>
          </w:p>
        </w:tc>
      </w:tr>
      <w:tr w:rsidR="007B4129" w:rsidTr="00E41453">
        <w:tc>
          <w:tcPr>
            <w:tcW w:w="1728"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2012-13</w:t>
            </w:r>
          </w:p>
        </w:tc>
        <w:tc>
          <w:tcPr>
            <w:tcW w:w="3420"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47.01</w:t>
            </w:r>
          </w:p>
        </w:tc>
        <w:tc>
          <w:tcPr>
            <w:tcW w:w="3374"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666.86</w:t>
            </w:r>
          </w:p>
        </w:tc>
      </w:tr>
      <w:tr w:rsidR="007B4129" w:rsidTr="00E41453">
        <w:tc>
          <w:tcPr>
            <w:tcW w:w="1728"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2013-14</w:t>
            </w:r>
          </w:p>
        </w:tc>
        <w:tc>
          <w:tcPr>
            <w:tcW w:w="3420"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115.99</w:t>
            </w:r>
          </w:p>
        </w:tc>
        <w:tc>
          <w:tcPr>
            <w:tcW w:w="3374" w:type="dxa"/>
          </w:tcPr>
          <w:p w:rsidR="007B4129" w:rsidRDefault="007B4129" w:rsidP="00E41453">
            <w:pPr>
              <w:autoSpaceDE w:val="0"/>
              <w:autoSpaceDN w:val="0"/>
              <w:adjustRightInd w:val="0"/>
              <w:jc w:val="center"/>
              <w:rPr>
                <w:rFonts w:ascii="Calibri" w:hAnsi="Calibri" w:cs="Calibri"/>
                <w:sz w:val="22"/>
                <w:szCs w:val="22"/>
                <w:lang/>
              </w:rPr>
            </w:pPr>
            <w:r>
              <w:rPr>
                <w:rFonts w:cs="Times New Roman"/>
                <w:lang/>
              </w:rPr>
              <w:t>768.56</w:t>
            </w:r>
          </w:p>
        </w:tc>
      </w:tr>
    </w:tbl>
    <w:p w:rsidR="007B4129" w:rsidRDefault="007B4129" w:rsidP="007B4129">
      <w:pPr>
        <w:jc w:val="both"/>
        <w:rPr>
          <w:rFonts w:hint="cs"/>
          <w:sz w:val="23"/>
          <w:szCs w:val="23"/>
        </w:rPr>
      </w:pPr>
    </w:p>
    <w:p w:rsidR="007B4129" w:rsidRDefault="007B4129" w:rsidP="007B4129">
      <w:pPr>
        <w:jc w:val="both"/>
        <w:rPr>
          <w:rFonts w:hint="cs"/>
          <w:sz w:val="23"/>
          <w:szCs w:val="23"/>
        </w:rPr>
      </w:pPr>
      <w:r>
        <w:rPr>
          <w:rFonts w:hint="cs"/>
          <w:sz w:val="23"/>
          <w:szCs w:val="23"/>
          <w:cs/>
        </w:rPr>
        <w:t>2</w:t>
      </w:r>
      <w:r>
        <w:rPr>
          <w:rFonts w:hint="cs"/>
          <w:sz w:val="23"/>
          <w:szCs w:val="23"/>
        </w:rPr>
        <w:t>.</w:t>
      </w:r>
      <w:r>
        <w:rPr>
          <w:rFonts w:hint="cs"/>
          <w:sz w:val="23"/>
          <w:szCs w:val="23"/>
          <w:cs/>
        </w:rPr>
        <w:tab/>
        <w:t>मानव संसाधन विकास मंत्रालय दो छात्रवृत्ति योजनाएं नामत: केन्‍द्र प्रायोजित राष्‍ट्रीय साधन-सह-योग्‍यता छात्रवृत्ति योजना और कॉलेज एवं विश्‍वविद्यालय छात्रों के लिए केन्‍द्रीय क्षेत्र छात्रवृत्ति योजना चलाता है। केन्‍द्र प्रायोजित राष्‍ट्रीय साधन-सह-योग्‍यता छात्रवृत्ति योजना मई</w:t>
      </w:r>
      <w:r>
        <w:rPr>
          <w:rFonts w:hint="cs"/>
          <w:sz w:val="23"/>
          <w:szCs w:val="23"/>
        </w:rPr>
        <w:t>,</w:t>
      </w:r>
      <w:r>
        <w:rPr>
          <w:rFonts w:hint="cs"/>
          <w:sz w:val="23"/>
          <w:szCs w:val="23"/>
          <w:cs/>
        </w:rPr>
        <w:t xml:space="preserve"> 2008 में आरम्‍भ की गई थी</w:t>
      </w:r>
      <w:r>
        <w:rPr>
          <w:rFonts w:hint="cs"/>
          <w:sz w:val="23"/>
          <w:szCs w:val="23"/>
        </w:rPr>
        <w:t>,</w:t>
      </w:r>
      <w:r>
        <w:rPr>
          <w:rFonts w:hint="cs"/>
          <w:sz w:val="23"/>
          <w:szCs w:val="23"/>
          <w:cs/>
        </w:rPr>
        <w:t xml:space="preserve"> जिसका उद्देश्‍य आर्थिक दृष्टि से कमजोर वर्गों के मेधावी छात्रों के </w:t>
      </w:r>
      <w:r>
        <w:rPr>
          <w:sz w:val="23"/>
          <w:szCs w:val="23"/>
        </w:rPr>
        <w:t>VIII</w:t>
      </w:r>
      <w:r>
        <w:rPr>
          <w:rFonts w:hint="cs"/>
          <w:sz w:val="23"/>
          <w:szCs w:val="23"/>
          <w:cs/>
        </w:rPr>
        <w:t>वीं कक्षा में स्‍कूल छोड़ने पर रोक लगाने और माध्‍यमिक स्‍तर पर अपनी पढ़ाई जारी रखने हेतु प्रोत्‍साहित करने के लिए उन्‍हें छात्रवृत्ति प्रदान करना है। इस योजना के तहत राज्‍य सरकार के मानदंडों के अनुसार आरक्षण लागू है। वर्ष 2008-09 से 2013-14 तक छात्रवृत्ति-संस्‍वीकृति पर 323.56 करोड़ रूपए की राशि खर्च की गई है। कॉलेज एवं विश्‍वविद्यालय के छात्रों के लिए केन्‍द्रीय क्षेत्र छात्रवृत्ति योजना 2008-09 में आरम्‍भ की गई थी जिसका उद्देश्‍य उन मेधावी छात्रों</w:t>
      </w:r>
      <w:r>
        <w:rPr>
          <w:rFonts w:hint="cs"/>
          <w:sz w:val="23"/>
          <w:szCs w:val="23"/>
        </w:rPr>
        <w:t>,</w:t>
      </w:r>
      <w:r>
        <w:rPr>
          <w:rFonts w:hint="cs"/>
          <w:sz w:val="23"/>
          <w:szCs w:val="23"/>
          <w:cs/>
        </w:rPr>
        <w:t xml:space="preserve"> जो किसी विशेष परीक्षा बोर्ड में संबंधित विषय में उत्‍तीर्ण अभ्‍यर्थियों के 80 प्रतिशत अंक से ऊपर रहते हैं</w:t>
      </w:r>
      <w:r>
        <w:rPr>
          <w:rFonts w:hint="cs"/>
          <w:sz w:val="23"/>
          <w:szCs w:val="23"/>
        </w:rPr>
        <w:t>,</w:t>
      </w:r>
      <w:r>
        <w:rPr>
          <w:rFonts w:hint="cs"/>
          <w:sz w:val="23"/>
          <w:szCs w:val="23"/>
          <w:cs/>
        </w:rPr>
        <w:t xml:space="preserve"> को वित्‍तीय सहायता प्रदान करना है। यह आरक्षण आंतरिक निर्धारण के अध्‍यधीन सरकार की आरक्षण नीति के अनुसार है। योजना की शुरूआत अर्थात् शैक्षिक वर्ष 2008-09 से आज की तारीख तक इस योजना में 771.28 करोड़ रूपए की राशि खर्च की गई है। </w:t>
      </w:r>
    </w:p>
    <w:p w:rsidR="007B4129" w:rsidRDefault="007B4129" w:rsidP="007B4129">
      <w:pPr>
        <w:jc w:val="both"/>
        <w:rPr>
          <w:rFonts w:hint="cs"/>
          <w:sz w:val="23"/>
          <w:szCs w:val="23"/>
        </w:rPr>
      </w:pPr>
    </w:p>
    <w:p w:rsidR="007B4129" w:rsidRPr="00365511" w:rsidRDefault="007B4129" w:rsidP="007B4129">
      <w:pPr>
        <w:jc w:val="both"/>
        <w:rPr>
          <w:rFonts w:hint="cs"/>
          <w:sz w:val="23"/>
          <w:szCs w:val="23"/>
          <w:cs/>
        </w:rPr>
      </w:pPr>
      <w:r>
        <w:rPr>
          <w:rFonts w:hint="cs"/>
          <w:sz w:val="23"/>
          <w:szCs w:val="23"/>
          <w:cs/>
        </w:rPr>
        <w:t>तथापि</w:t>
      </w:r>
      <w:r>
        <w:rPr>
          <w:rFonts w:hint="cs"/>
          <w:sz w:val="23"/>
          <w:szCs w:val="23"/>
        </w:rPr>
        <w:t>,</w:t>
      </w:r>
      <w:r>
        <w:rPr>
          <w:rFonts w:hint="cs"/>
          <w:sz w:val="23"/>
          <w:szCs w:val="23"/>
          <w:cs/>
        </w:rPr>
        <w:t xml:space="preserve"> अन्‍य पिछड़ा वर्ग के छात्रों को इन दो छात्रवृत्तियों के संवितरण संबंधी आंकड़े केन्‍द्र स्‍तर पर नहीं रखे जाते है। </w:t>
      </w:r>
    </w:p>
    <w:p w:rsidR="007B4129" w:rsidRPr="00210890" w:rsidRDefault="007B4129" w:rsidP="007B4129">
      <w:pPr>
        <w:jc w:val="both"/>
        <w:rPr>
          <w:rFonts w:hint="cs"/>
          <w:sz w:val="23"/>
          <w:szCs w:val="23"/>
          <w:cs/>
        </w:rPr>
      </w:pPr>
    </w:p>
    <w:p w:rsidR="007B4129" w:rsidRDefault="007B4129" w:rsidP="007B4129">
      <w:pPr>
        <w:jc w:val="center"/>
        <w:rPr>
          <w:sz w:val="23"/>
          <w:szCs w:val="23"/>
          <w:cs/>
        </w:rPr>
      </w:pPr>
      <w:r w:rsidRPr="00210890">
        <w:rPr>
          <w:sz w:val="23"/>
          <w:szCs w:val="23"/>
          <w:cs/>
        </w:rPr>
        <w:t>*****</w:t>
      </w:r>
    </w:p>
    <w:p w:rsidR="00F32F39" w:rsidRDefault="007B4129"/>
    <w:sectPr w:rsidR="00F32F39" w:rsidSect="00850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7B4129"/>
    <w:rsid w:val="006A7CFD"/>
    <w:rsid w:val="007B4129"/>
    <w:rsid w:val="00850672"/>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129"/>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1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2059</Characters>
  <Application>Microsoft Office Word</Application>
  <DocSecurity>0</DocSecurity>
  <Lines>17</Lines>
  <Paragraphs>4</Paragraphs>
  <ScaleCrop>false</ScaleCrop>
  <Company>Hewlett-Packard Company</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2014-11-24T07:43:00Z</dcterms:created>
  <dcterms:modified xsi:type="dcterms:W3CDTF">2014-11-24T07:44:00Z</dcterms:modified>
</cp:coreProperties>
</file>