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F8" w:rsidRPr="003729A5" w:rsidRDefault="00E331F8" w:rsidP="00E331F8">
      <w:pPr>
        <w:ind w:right="-120"/>
        <w:jc w:val="both"/>
        <w:rPr>
          <w:rFonts w:cs="Mangal"/>
          <w:lang w:bidi="hi-IN"/>
        </w:rPr>
      </w:pPr>
      <w:r w:rsidRPr="003729A5">
        <w:rPr>
          <w:rFonts w:cs="Mangal" w:hint="cs"/>
          <w:cs/>
          <w:lang w:bidi="hi-IN"/>
        </w:rPr>
        <w:t>(क)</w:t>
      </w:r>
      <w:r w:rsidRPr="003729A5">
        <w:rPr>
          <w:rFonts w:cs="Mangal" w:hint="cs"/>
          <w:cs/>
          <w:lang w:bidi="hi-IN"/>
        </w:rPr>
        <w:tab/>
      </w:r>
      <w:r>
        <w:rPr>
          <w:rFonts w:cs="Mangal" w:hint="cs"/>
          <w:cs/>
          <w:lang w:bidi="hi-IN"/>
        </w:rPr>
        <w:t>क्या यह सच है कि 2008-09 से 2011-12 के बीच लगभग सभी राज्य पुलिस बल के आधुनिकीकरण के अंतर्गत जारी निधि का उपयोग करने में असफल रहे हैं</w:t>
      </w:r>
      <w:r w:rsidRPr="003729A5">
        <w:rPr>
          <w:rFonts w:cs="Mangal" w:hint="cs"/>
          <w:cs/>
          <w:lang w:bidi="hi-IN"/>
        </w:rPr>
        <w:t>;</w:t>
      </w:r>
      <w:r>
        <w:rPr>
          <w:rFonts w:cs="Mangal" w:hint="cs"/>
          <w:cs/>
          <w:lang w:bidi="hi-IN"/>
        </w:rPr>
        <w:t xml:space="preserve"> </w:t>
      </w:r>
    </w:p>
    <w:p w:rsidR="00E331F8" w:rsidRDefault="00E331F8" w:rsidP="00E331F8">
      <w:pPr>
        <w:ind w:right="-120"/>
        <w:jc w:val="both"/>
        <w:rPr>
          <w:rFonts w:cs="Mangal" w:hint="cs"/>
          <w:lang w:bidi="hi-IN"/>
        </w:rPr>
      </w:pPr>
      <w:r w:rsidRPr="003729A5">
        <w:rPr>
          <w:rFonts w:cs="Mangal" w:hint="cs"/>
          <w:cs/>
          <w:lang w:bidi="hi-IN"/>
        </w:rPr>
        <w:t>(ख)</w:t>
      </w:r>
      <w:r w:rsidRPr="003729A5">
        <w:rPr>
          <w:rFonts w:cs="Mangal" w:hint="cs"/>
          <w:cs/>
          <w:lang w:bidi="hi-IN"/>
        </w:rPr>
        <w:tab/>
      </w:r>
      <w:r>
        <w:rPr>
          <w:rFonts w:cs="Mangal" w:hint="cs"/>
          <w:cs/>
          <w:lang w:bidi="hi-IN"/>
        </w:rPr>
        <w:t>यदि हां, तो उपर्युक्त अवधि के दौरान आबंटित, जारी और व्यय की गई निधियों का राज्य-वार ब्यौरा क्या है</w:t>
      </w:r>
      <w:r w:rsidRPr="003729A5">
        <w:rPr>
          <w:rFonts w:cs="Mangal" w:hint="cs"/>
          <w:cs/>
          <w:lang w:bidi="hi-IN"/>
        </w:rPr>
        <w:t>;</w:t>
      </w:r>
      <w:r>
        <w:rPr>
          <w:rFonts w:cs="Mangal" w:hint="cs"/>
          <w:cs/>
          <w:lang w:bidi="hi-IN"/>
        </w:rPr>
        <w:t xml:space="preserve"> </w:t>
      </w:r>
    </w:p>
    <w:p w:rsidR="00E331F8" w:rsidRDefault="00E331F8" w:rsidP="00E331F8">
      <w:pPr>
        <w:ind w:right="-120"/>
        <w:jc w:val="both"/>
        <w:rPr>
          <w:rFonts w:cs="Mangal" w:hint="cs"/>
          <w:lang w:bidi="hi-IN"/>
        </w:rPr>
      </w:pPr>
      <w:r>
        <w:rPr>
          <w:rFonts w:cs="Mangal" w:hint="cs"/>
          <w:cs/>
          <w:lang w:bidi="hi-IN"/>
        </w:rPr>
        <w:t>(ग)</w:t>
      </w:r>
      <w:r>
        <w:rPr>
          <w:rFonts w:cs="Mangal" w:hint="cs"/>
          <w:cs/>
          <w:lang w:bidi="hi-IN"/>
        </w:rPr>
        <w:tab/>
        <w:t>पुलिस बल के आधुनिकीकरण के अंतर्गत निधियों को जारी किया जाना सुनिश्चित करने के लिए मंत्रालय क्या प्रयास कर रहा है</w:t>
      </w:r>
      <w:r w:rsidRPr="003729A5">
        <w:rPr>
          <w:rFonts w:cs="Mangal" w:hint="cs"/>
          <w:cs/>
          <w:lang w:bidi="hi-IN"/>
        </w:rPr>
        <w:t>;</w:t>
      </w:r>
      <w:r>
        <w:rPr>
          <w:rFonts w:cs="Mangal" w:hint="cs"/>
          <w:cs/>
          <w:lang w:bidi="hi-IN"/>
        </w:rPr>
        <w:t xml:space="preserve"> </w:t>
      </w:r>
    </w:p>
    <w:p w:rsidR="00E331F8" w:rsidRDefault="00E331F8" w:rsidP="00E331F8">
      <w:pPr>
        <w:ind w:right="-120"/>
        <w:jc w:val="both"/>
        <w:rPr>
          <w:rFonts w:cs="Mangal" w:hint="cs"/>
          <w:lang w:bidi="hi-IN"/>
        </w:rPr>
      </w:pPr>
      <w:r>
        <w:rPr>
          <w:rFonts w:cs="Mangal" w:hint="cs"/>
          <w:cs/>
          <w:lang w:bidi="hi-IN"/>
        </w:rPr>
        <w:t>(घ)</w:t>
      </w:r>
      <w:r>
        <w:rPr>
          <w:rFonts w:cs="Mangal" w:hint="cs"/>
          <w:cs/>
          <w:lang w:bidi="hi-IN"/>
        </w:rPr>
        <w:tab/>
        <w:t>क्या पुलिस बल के आधुनिकीकरण के अंतर्गत किन्ही विशेष घटकों को शामिल किये जाने की योजना बनायी जा रही है</w:t>
      </w:r>
      <w:r w:rsidRPr="003729A5">
        <w:rPr>
          <w:rFonts w:cs="Mangal" w:hint="cs"/>
          <w:cs/>
          <w:lang w:bidi="hi-IN"/>
        </w:rPr>
        <w:t>;</w:t>
      </w:r>
    </w:p>
    <w:p w:rsidR="00E331F8" w:rsidRDefault="00E331F8" w:rsidP="00E331F8">
      <w:pPr>
        <w:ind w:right="-120"/>
        <w:jc w:val="both"/>
        <w:rPr>
          <w:rFonts w:cs="Mangal" w:hint="cs"/>
          <w:lang w:bidi="hi-IN"/>
        </w:rPr>
      </w:pPr>
      <w:r>
        <w:rPr>
          <w:rFonts w:cs="Mangal" w:hint="cs"/>
          <w:cs/>
          <w:lang w:bidi="hi-IN"/>
        </w:rPr>
        <w:t>(ड.)</w:t>
      </w:r>
      <w:r>
        <w:rPr>
          <w:rFonts w:cs="Mangal" w:hint="cs"/>
          <w:cs/>
          <w:lang w:bidi="hi-IN"/>
        </w:rPr>
        <w:tab/>
        <w:t>यदि हां, तो तत्संबंधी ब्यौरा क्या है</w:t>
      </w:r>
      <w:r w:rsidRPr="003729A5">
        <w:rPr>
          <w:rFonts w:cs="Mangal" w:hint="cs"/>
          <w:cs/>
          <w:lang w:bidi="hi-IN"/>
        </w:rPr>
        <w:t>;</w:t>
      </w:r>
      <w:r>
        <w:rPr>
          <w:rFonts w:cs="Mangal" w:hint="cs"/>
          <w:cs/>
          <w:lang w:bidi="hi-IN"/>
        </w:rPr>
        <w:t xml:space="preserve"> और</w:t>
      </w:r>
    </w:p>
    <w:p w:rsidR="00E331F8" w:rsidRPr="003729A5" w:rsidRDefault="00E331F8" w:rsidP="00E331F8">
      <w:pPr>
        <w:ind w:right="-120"/>
        <w:jc w:val="both"/>
        <w:rPr>
          <w:rFonts w:cs="Mangal" w:hint="cs"/>
          <w:lang w:bidi="hi-IN"/>
        </w:rPr>
      </w:pPr>
      <w:r>
        <w:rPr>
          <w:rFonts w:cs="Mangal" w:hint="cs"/>
          <w:cs/>
          <w:lang w:bidi="hi-IN"/>
        </w:rPr>
        <w:t>(च)</w:t>
      </w:r>
      <w:r>
        <w:rPr>
          <w:rFonts w:cs="Mangal" w:hint="cs"/>
          <w:cs/>
          <w:lang w:bidi="hi-IN"/>
        </w:rPr>
        <w:tab/>
        <w:t>यदि नहीं, तो इसके क्या कारण है</w:t>
      </w:r>
      <w:r w:rsidRPr="003729A5">
        <w:rPr>
          <w:rFonts w:cs="Mangal" w:hint="cs"/>
          <w:cs/>
          <w:lang w:bidi="hi-IN"/>
        </w:rPr>
        <w:t>?</w:t>
      </w:r>
    </w:p>
    <w:p w:rsidR="00E331F8" w:rsidRDefault="00E331F8" w:rsidP="00E331F8">
      <w:pPr>
        <w:ind w:right="-120"/>
        <w:jc w:val="both"/>
        <w:rPr>
          <w:rFonts w:cs="Mangal"/>
          <w:b/>
          <w:bCs/>
          <w:cs/>
          <w:lang w:bidi="hi-IN"/>
        </w:rPr>
      </w:pPr>
    </w:p>
    <w:p w:rsidR="00E331F8" w:rsidRDefault="00E331F8" w:rsidP="00E331F8">
      <w:pPr>
        <w:ind w:right="-120"/>
        <w:jc w:val="both"/>
        <w:rPr>
          <w:rFonts w:cs="Mangal"/>
          <w:b/>
          <w:bCs/>
          <w:cs/>
          <w:lang w:bidi="hi-IN"/>
        </w:rPr>
      </w:pPr>
    </w:p>
    <w:p w:rsidR="00E331F8" w:rsidRDefault="00E331F8" w:rsidP="00E331F8">
      <w:pPr>
        <w:ind w:right="-120"/>
        <w:jc w:val="both"/>
        <w:rPr>
          <w:rFonts w:cs="Mangal"/>
          <w:b/>
          <w:bCs/>
          <w:cs/>
          <w:lang w:bidi="hi-IN"/>
        </w:rPr>
      </w:pPr>
    </w:p>
    <w:p w:rsidR="00E331F8" w:rsidRPr="003729A5" w:rsidRDefault="00E331F8" w:rsidP="00E331F8">
      <w:pPr>
        <w:ind w:right="-120"/>
        <w:jc w:val="both"/>
        <w:rPr>
          <w:rFonts w:cs="Mangal"/>
          <w:b/>
          <w:bCs/>
          <w:lang w:bidi="hi-IN"/>
        </w:rPr>
      </w:pPr>
      <w:r w:rsidRPr="003729A5">
        <w:rPr>
          <w:rFonts w:cs="Mangal" w:hint="cs"/>
          <w:b/>
          <w:bCs/>
          <w:cs/>
          <w:lang w:bidi="hi-IN"/>
        </w:rPr>
        <w:t>उत्तर</w:t>
      </w:r>
    </w:p>
    <w:p w:rsidR="00E331F8" w:rsidRDefault="00E331F8" w:rsidP="00E331F8">
      <w:pPr>
        <w:ind w:right="-120"/>
        <w:jc w:val="both"/>
        <w:rPr>
          <w:rFonts w:cs="Mangal" w:hint="cs"/>
          <w:b/>
          <w:bCs/>
          <w:cs/>
          <w:lang w:bidi="hi-IN"/>
        </w:rPr>
      </w:pPr>
      <w:r w:rsidRPr="003729A5">
        <w:rPr>
          <w:rFonts w:cs="Mangal" w:hint="cs"/>
          <w:cs/>
          <w:lang w:bidi="hi-IN"/>
        </w:rPr>
        <w:t>गृह मंत्रालय में राज्य मंत्री</w:t>
      </w:r>
      <w:r w:rsidRPr="003729A5">
        <w:rPr>
          <w:rFonts w:cs="Mangal" w:hint="cs"/>
          <w:b/>
          <w:bCs/>
          <w:cs/>
          <w:lang w:bidi="hi-IN"/>
        </w:rPr>
        <w:t xml:space="preserve"> (श्री </w:t>
      </w:r>
      <w:r>
        <w:rPr>
          <w:rFonts w:cs="Mangal" w:hint="cs"/>
          <w:b/>
          <w:bCs/>
          <w:cs/>
          <w:lang w:bidi="hi-IN"/>
        </w:rPr>
        <w:t>मुल्लापल्ली रामचन्द्रन</w:t>
      </w:r>
      <w:r w:rsidRPr="003729A5">
        <w:rPr>
          <w:rFonts w:cs="Mangal" w:hint="cs"/>
          <w:b/>
          <w:bCs/>
          <w:cs/>
          <w:lang w:bidi="hi-IN"/>
        </w:rPr>
        <w:t>)</w:t>
      </w:r>
    </w:p>
    <w:p w:rsidR="00E331F8" w:rsidRDefault="00E331F8" w:rsidP="00E331F8">
      <w:pPr>
        <w:ind w:right="-120"/>
        <w:jc w:val="both"/>
        <w:rPr>
          <w:rFonts w:cs="Mangal" w:hint="cs"/>
          <w:b/>
          <w:bCs/>
          <w:lang w:bidi="hi-IN"/>
        </w:rPr>
      </w:pPr>
      <w:r>
        <w:rPr>
          <w:rFonts w:cs="Mangal" w:hint="cs"/>
          <w:b/>
          <w:bCs/>
          <w:cs/>
          <w:lang w:bidi="hi-IN"/>
        </w:rPr>
        <w:t>(क) और (ख)</w:t>
      </w:r>
      <w:r w:rsidRPr="00F06BBC">
        <w:rPr>
          <w:rFonts w:cs="Mangal"/>
          <w:b/>
          <w:bCs/>
          <w:lang w:bidi="hi-IN"/>
        </w:rPr>
        <w:t xml:space="preserve"> </w:t>
      </w:r>
      <w:r>
        <w:rPr>
          <w:rFonts w:cs="Mangal"/>
          <w:b/>
          <w:bCs/>
          <w:lang w:bidi="hi-IN"/>
        </w:rPr>
        <w:t>:</w:t>
      </w:r>
      <w:r>
        <w:rPr>
          <w:rFonts w:cs="Mangal" w:hint="cs"/>
          <w:b/>
          <w:bCs/>
          <w:cs/>
          <w:lang w:bidi="hi-IN"/>
        </w:rPr>
        <w:t xml:space="preserve">  वित्तीय वर्ष 2008-09 से 2011-12 के दौरान राज्य सरकारों को राज्य पुलिस बलों के आधुनिकीकरण (एम पी एफ) की योजना के तहत जारी की गई निधियों और वर्ष 2008-09 से 2010-11 की अवधि के संबंध में राज्य सरकारों द्वारा सूचित उपयोग को दर्शाने वाला विवरण अनुलग्नक में दिया गया है। वर्ष 2011-12 के लिए उपयोगिता प्रमाणपत्र दिनांक 01.04.2013 को देय होगा।</w:t>
      </w:r>
    </w:p>
    <w:p w:rsidR="00E331F8" w:rsidRPr="00CC7386" w:rsidRDefault="00E331F8" w:rsidP="00E331F8">
      <w:pPr>
        <w:ind w:right="-120"/>
        <w:jc w:val="both"/>
        <w:rPr>
          <w:rFonts w:cs="Mangal" w:hint="cs"/>
          <w:b/>
          <w:bCs/>
          <w:sz w:val="2"/>
          <w:szCs w:val="2"/>
          <w:lang w:bidi="hi-IN"/>
        </w:rPr>
      </w:pPr>
    </w:p>
    <w:p w:rsidR="00E331F8" w:rsidRDefault="00E331F8" w:rsidP="00E331F8">
      <w:pPr>
        <w:ind w:right="-120"/>
        <w:jc w:val="both"/>
        <w:rPr>
          <w:rFonts w:cs="Mangal" w:hint="cs"/>
          <w:b/>
          <w:bCs/>
          <w:lang w:bidi="hi-IN"/>
        </w:rPr>
      </w:pPr>
      <w:r>
        <w:rPr>
          <w:rFonts w:cs="Mangal" w:hint="cs"/>
          <w:b/>
          <w:bCs/>
          <w:cs/>
          <w:lang w:bidi="hi-IN"/>
        </w:rPr>
        <w:t>(ग)</w:t>
      </w:r>
      <w:r w:rsidRPr="00F06BBC">
        <w:rPr>
          <w:rFonts w:cs="Mangal"/>
          <w:b/>
          <w:bCs/>
          <w:lang w:bidi="hi-IN"/>
        </w:rPr>
        <w:t xml:space="preserve"> </w:t>
      </w:r>
      <w:r>
        <w:rPr>
          <w:rFonts w:cs="Mangal"/>
          <w:b/>
          <w:bCs/>
          <w:lang w:bidi="hi-IN"/>
        </w:rPr>
        <w:t>:</w:t>
      </w:r>
      <w:r>
        <w:rPr>
          <w:rFonts w:cs="Mangal" w:hint="cs"/>
          <w:b/>
          <w:bCs/>
          <w:cs/>
          <w:lang w:bidi="hi-IN"/>
        </w:rPr>
        <w:tab/>
        <w:t>एम पी एफ योजना के तहत राज्यों को मंजूर और जारी की गई निधियों के समय पर और उचित उपयोग की निगरानी के लिए, गृह मंत्रालय ने मार्च, 2009 से समवर्ती लेखा परीक्षा की प्रणाली शुरु की है। एम पी एफ योजना की निधियों की समवर्ती लेखा परीक्षा गृह मंत्रालय के आंतरिक लेखापरीक्षा विंग द्वारा सभी राज्यों/संघ राज्य क्षेत्रों में प्रत्येक तिमाही में की जा रही है।</w:t>
      </w:r>
    </w:p>
    <w:p w:rsidR="00E331F8" w:rsidRPr="00CC7386" w:rsidRDefault="00E331F8" w:rsidP="00E331F8">
      <w:pPr>
        <w:ind w:right="-120"/>
        <w:jc w:val="both"/>
        <w:rPr>
          <w:rFonts w:cs="Mangal" w:hint="cs"/>
          <w:b/>
          <w:bCs/>
          <w:sz w:val="4"/>
          <w:szCs w:val="4"/>
          <w:lang w:bidi="hi-IN"/>
        </w:rPr>
      </w:pPr>
    </w:p>
    <w:p w:rsidR="00E331F8" w:rsidRDefault="00E331F8" w:rsidP="00E331F8">
      <w:pPr>
        <w:ind w:right="-120"/>
        <w:jc w:val="both"/>
        <w:rPr>
          <w:rFonts w:cs="Mangal" w:hint="cs"/>
          <w:b/>
          <w:bCs/>
          <w:lang w:bidi="hi-IN"/>
        </w:rPr>
      </w:pPr>
      <w:r>
        <w:rPr>
          <w:rFonts w:cs="Mangal" w:hint="cs"/>
          <w:b/>
          <w:bCs/>
          <w:cs/>
          <w:lang w:bidi="hi-IN"/>
        </w:rPr>
        <w:t>(घ) से (च)</w:t>
      </w:r>
      <w:r w:rsidRPr="00F06BBC">
        <w:rPr>
          <w:rFonts w:cs="Mangal"/>
          <w:b/>
          <w:bCs/>
          <w:lang w:bidi="hi-IN"/>
        </w:rPr>
        <w:t xml:space="preserve"> </w:t>
      </w:r>
      <w:r>
        <w:rPr>
          <w:rFonts w:cs="Mangal"/>
          <w:b/>
          <w:bCs/>
          <w:lang w:bidi="hi-IN"/>
        </w:rPr>
        <w:t>:</w:t>
      </w:r>
      <w:r>
        <w:rPr>
          <w:rFonts w:cs="Mangal" w:hint="cs"/>
          <w:b/>
          <w:bCs/>
          <w:cs/>
          <w:lang w:bidi="hi-IN"/>
        </w:rPr>
        <w:tab/>
        <w:t>गृह मंत्रालय द्वारा कार्यान्वित राज्य पुलिस बलों के आधुनिकीकरण की योजना (एम पी एफ स्कीम) वर्ष 2009-10 में समाप्त हो गई थी। यह योजना, सुरक्षा संबंधी मंत्रिमंडल समिति (सी सी एस) के अनुमोदन से दो वर्षों अर्थात् वित्तीय वर्ष 2010-11 और 2011-12 तक के लिए आगे बढ़ा दी गई थी। बढ़ाई गई एम पी एफ योजना भी 31 मार्च, 2012 को समाप्त हो गई है।</w:t>
      </w:r>
    </w:p>
    <w:p w:rsidR="00E331F8" w:rsidRPr="00CC7386" w:rsidRDefault="00E331F8" w:rsidP="00E331F8">
      <w:pPr>
        <w:ind w:right="-120"/>
        <w:jc w:val="both"/>
        <w:rPr>
          <w:rFonts w:cs="Mangal" w:hint="cs"/>
          <w:b/>
          <w:bCs/>
          <w:sz w:val="2"/>
          <w:szCs w:val="2"/>
          <w:lang w:bidi="hi-IN"/>
        </w:rPr>
      </w:pPr>
    </w:p>
    <w:p w:rsidR="00E331F8" w:rsidRDefault="00E331F8" w:rsidP="00E331F8">
      <w:pPr>
        <w:ind w:right="-120"/>
        <w:jc w:val="both"/>
        <w:rPr>
          <w:rFonts w:cs="Mangal" w:hint="cs"/>
          <w:b/>
          <w:bCs/>
          <w:lang w:bidi="hi-IN"/>
        </w:rPr>
      </w:pPr>
      <w:r>
        <w:rPr>
          <w:rFonts w:cs="Mangal" w:hint="cs"/>
          <w:b/>
          <w:bCs/>
          <w:cs/>
          <w:lang w:bidi="hi-IN"/>
        </w:rPr>
        <w:tab/>
        <w:t xml:space="preserve">सचिवों की समिति की सिफारिशों के अनुसार आंशिक रूप से गैर-योजना और आंशिक रूप से योजना के तहत वित्तीय वर्ष 2012-13 से पांच वर्षों (2012-13 से 2016-17 तक) की अवधि के </w:t>
      </w:r>
      <w:r>
        <w:rPr>
          <w:rFonts w:cs="Mangal" w:hint="cs"/>
          <w:b/>
          <w:bCs/>
          <w:cs/>
          <w:lang w:bidi="hi-IN"/>
        </w:rPr>
        <w:lastRenderedPageBreak/>
        <w:t>लिए एम पी एफ योजना की समयावधि और आगे बढ़ाने के प्रस्तावों पर सक्षम प्राधिकारी का अनुमोदन प्राप्त करने के लिए गृह मंत्रालय द्वारा कार्रवाई की जा रही है।</w:t>
      </w:r>
    </w:p>
    <w:p w:rsidR="00E331F8" w:rsidRDefault="00E331F8" w:rsidP="00E331F8">
      <w:pPr>
        <w:ind w:right="-120"/>
        <w:jc w:val="center"/>
        <w:rPr>
          <w:rFonts w:cs="Mangal"/>
          <w:b/>
          <w:bCs/>
          <w:lang w:bidi="hi-IN"/>
        </w:rPr>
      </w:pPr>
      <w:r>
        <w:rPr>
          <w:rFonts w:cs="Mangal" w:hint="cs"/>
          <w:b/>
          <w:bCs/>
          <w:cs/>
          <w:lang w:bidi="hi-IN"/>
        </w:rPr>
        <w:t>----</w:t>
      </w:r>
    </w:p>
    <w:p w:rsidR="00E331F8" w:rsidRDefault="00E331F8" w:rsidP="00E331F8">
      <w:pPr>
        <w:ind w:right="-120"/>
        <w:jc w:val="center"/>
      </w:pPr>
    </w:p>
    <w:p w:rsidR="00E331F8" w:rsidRDefault="00E331F8" w:rsidP="00E331F8">
      <w:pPr>
        <w:spacing w:line="360" w:lineRule="auto"/>
        <w:ind w:left="-720" w:right="600"/>
        <w:jc w:val="right"/>
        <w:rPr>
          <w:rFonts w:ascii="Arial Black" w:hAnsi="Arial Black" w:cs="Mangal" w:hint="cs"/>
          <w:b/>
          <w:sz w:val="18"/>
          <w:szCs w:val="18"/>
          <w:u w:val="single"/>
          <w:lang w:bidi="hi-IN"/>
        </w:rPr>
      </w:pPr>
    </w:p>
    <w:p w:rsidR="00E331F8" w:rsidRPr="008078A1" w:rsidRDefault="00E331F8" w:rsidP="00E331F8">
      <w:pPr>
        <w:spacing w:line="360" w:lineRule="auto"/>
        <w:ind w:left="-720" w:right="600"/>
        <w:jc w:val="right"/>
        <w:rPr>
          <w:rFonts w:ascii="Arial Black" w:hAnsi="Arial Black" w:cs="Mangal" w:hint="cs"/>
          <w:bCs/>
          <w:sz w:val="18"/>
          <w:szCs w:val="18"/>
          <w:u w:val="single"/>
          <w:lang w:bidi="hi-IN"/>
        </w:rPr>
      </w:pPr>
      <w:r w:rsidRPr="008078A1">
        <w:rPr>
          <w:rFonts w:ascii="Arial Black" w:hAnsi="Arial Black" w:cs="Mangal" w:hint="cs"/>
          <w:bCs/>
          <w:sz w:val="18"/>
          <w:szCs w:val="18"/>
          <w:u w:val="single"/>
          <w:cs/>
          <w:lang w:bidi="hi-IN"/>
        </w:rPr>
        <w:t>राज्य सभा अता. प्रश्न सं.-1933</w:t>
      </w:r>
    </w:p>
    <w:p w:rsidR="00E331F8" w:rsidRDefault="00E331F8" w:rsidP="00E331F8">
      <w:pPr>
        <w:spacing w:line="360" w:lineRule="auto"/>
        <w:ind w:left="-720" w:right="600"/>
        <w:jc w:val="right"/>
        <w:rPr>
          <w:rFonts w:ascii="Arial Black" w:hAnsi="Arial Black" w:cs="Mangal"/>
          <w:b/>
          <w:sz w:val="18"/>
          <w:szCs w:val="18"/>
          <w:u w:val="single"/>
          <w:lang w:bidi="hi-IN"/>
        </w:rPr>
      </w:pPr>
      <w:r>
        <w:rPr>
          <w:rFonts w:ascii="Arial Black" w:hAnsi="Arial Black" w:cs="Mangal" w:hint="cs"/>
          <w:b/>
          <w:sz w:val="18"/>
          <w:szCs w:val="18"/>
          <w:u w:val="single"/>
          <w:cs/>
          <w:lang w:bidi="hi-IN"/>
        </w:rPr>
        <w:t>अनुलग्नक</w:t>
      </w:r>
    </w:p>
    <w:p w:rsidR="00E331F8" w:rsidRDefault="00E331F8" w:rsidP="00E331F8">
      <w:pPr>
        <w:ind w:left="-1080" w:right="600"/>
        <w:jc w:val="both"/>
        <w:rPr>
          <w:rFonts w:ascii="Arial Black" w:hAnsi="Arial Black" w:cs="Mangal"/>
          <w:b/>
          <w:sz w:val="18"/>
          <w:szCs w:val="18"/>
          <w:u w:val="single"/>
          <w:lang w:bidi="hi-IN"/>
        </w:rPr>
      </w:pPr>
      <w:r>
        <w:rPr>
          <w:rFonts w:ascii="Arial Black" w:hAnsi="Arial Black" w:cs="Mangal" w:hint="cs"/>
          <w:b/>
          <w:sz w:val="18"/>
          <w:szCs w:val="18"/>
          <w:u w:val="single"/>
          <w:cs/>
          <w:lang w:bidi="hi-IN"/>
        </w:rPr>
        <w:t>वर्ष</w:t>
      </w:r>
      <w:r>
        <w:rPr>
          <w:rFonts w:ascii="Arial Black" w:hAnsi="Arial Black" w:cs="Arial"/>
          <w:b/>
          <w:sz w:val="18"/>
          <w:szCs w:val="18"/>
          <w:u w:val="single"/>
          <w:cs/>
          <w:lang w:bidi="hi-IN"/>
        </w:rPr>
        <w:t xml:space="preserve"> </w:t>
      </w:r>
      <w:r>
        <w:rPr>
          <w:rFonts w:ascii="Arial Black" w:hAnsi="Arial Black" w:cs="Mangal" w:hint="cs"/>
          <w:b/>
          <w:sz w:val="18"/>
          <w:szCs w:val="18"/>
          <w:u w:val="single"/>
          <w:cs/>
          <w:lang w:bidi="hi-IN"/>
        </w:rPr>
        <w:t xml:space="preserve"> 2008-09, 2009-10, 2010-11 और 2011-12 के दौरान राज्य पुलिस बलों के आधुनिकीकरण की योजना (एम पी एफ स्कीम) के तहत राज्यों को जारी की गईं निधियों और वर्ष 2008-09 से 2010-11 की अवधि के संबंध में उपयोग को दर्शाने वाला विवरण</w:t>
      </w:r>
    </w:p>
    <w:p w:rsidR="00E331F8" w:rsidRDefault="00E331F8" w:rsidP="00E331F8">
      <w:pPr>
        <w:ind w:right="600"/>
        <w:jc w:val="right"/>
        <w:rPr>
          <w:rFonts w:ascii="Arial Black" w:hAnsi="Arial Black" w:cs="Arial"/>
          <w:b/>
          <w:sz w:val="22"/>
          <w:szCs w:val="22"/>
        </w:rPr>
      </w:pPr>
      <w:r>
        <w:rPr>
          <w:rFonts w:ascii="Arial Black" w:hAnsi="Arial Black" w:cs="Arial"/>
          <w:b/>
          <w:sz w:val="22"/>
          <w:szCs w:val="22"/>
        </w:rPr>
        <w:tab/>
      </w:r>
      <w:r>
        <w:rPr>
          <w:rFonts w:ascii="Arial Black" w:hAnsi="Arial Black" w:cs="Arial"/>
          <w:b/>
          <w:sz w:val="22"/>
          <w:szCs w:val="22"/>
        </w:rPr>
        <w:tab/>
      </w:r>
      <w:r>
        <w:rPr>
          <w:rFonts w:ascii="Arial Black" w:hAnsi="Arial Black" w:cs="Arial"/>
          <w:b/>
          <w:sz w:val="22"/>
          <w:szCs w:val="22"/>
        </w:rPr>
        <w:tab/>
      </w:r>
      <w:r>
        <w:rPr>
          <w:rFonts w:ascii="Arial Black" w:hAnsi="Arial Black" w:cs="Arial"/>
          <w:b/>
          <w:sz w:val="22"/>
          <w:szCs w:val="22"/>
        </w:rPr>
        <w:tab/>
      </w:r>
      <w:r>
        <w:rPr>
          <w:rFonts w:ascii="Arial Black" w:hAnsi="Arial Black" w:cs="Arial"/>
          <w:b/>
          <w:sz w:val="22"/>
          <w:szCs w:val="22"/>
        </w:rPr>
        <w:tab/>
      </w:r>
      <w:r>
        <w:rPr>
          <w:rFonts w:ascii="Arial Black" w:hAnsi="Arial Black" w:cs="Arial"/>
          <w:b/>
          <w:sz w:val="22"/>
          <w:szCs w:val="22"/>
        </w:rPr>
        <w:tab/>
      </w:r>
      <w:r>
        <w:rPr>
          <w:rFonts w:ascii="Arial Black" w:hAnsi="Arial Black" w:cs="Mangal" w:hint="cs"/>
          <w:b/>
          <w:sz w:val="22"/>
          <w:szCs w:val="22"/>
          <w:cs/>
          <w:lang w:bidi="hi-IN"/>
        </w:rPr>
        <w:tab/>
      </w:r>
      <w:r>
        <w:rPr>
          <w:rFonts w:ascii="Arial Black" w:hAnsi="Arial Black" w:cs="Arial"/>
          <w:b/>
          <w:sz w:val="22"/>
          <w:szCs w:val="22"/>
        </w:rPr>
        <w:tab/>
        <w:t>(</w:t>
      </w:r>
      <w:r>
        <w:rPr>
          <w:rFonts w:ascii="Arial Black" w:hAnsi="Arial Black" w:cs="Mangal" w:hint="cs"/>
          <w:b/>
          <w:sz w:val="22"/>
          <w:szCs w:val="22"/>
          <w:cs/>
          <w:lang w:bidi="hi-IN"/>
        </w:rPr>
        <w:t>करोड़ रूपए</w:t>
      </w:r>
      <w:r>
        <w:rPr>
          <w:rFonts w:ascii="Arial Black" w:hAnsi="Arial Black" w:cs="Arial"/>
          <w:b/>
          <w:sz w:val="22"/>
          <w:szCs w:val="22"/>
        </w:rPr>
        <w:t>)</w:t>
      </w:r>
    </w:p>
    <w:tbl>
      <w:tblPr>
        <w:tblStyle w:val="TableGrid"/>
        <w:tblW w:w="9938" w:type="dxa"/>
        <w:tblInd w:w="-972" w:type="dxa"/>
        <w:tblLayout w:type="fixed"/>
        <w:tblLook w:val="01E0"/>
      </w:tblPr>
      <w:tblGrid>
        <w:gridCol w:w="1440"/>
        <w:gridCol w:w="1200"/>
        <w:gridCol w:w="1080"/>
        <w:gridCol w:w="1320"/>
        <w:gridCol w:w="1281"/>
        <w:gridCol w:w="1119"/>
        <w:gridCol w:w="1238"/>
        <w:gridCol w:w="1260"/>
      </w:tblGrid>
      <w:tr w:rsidR="00E331F8" w:rsidTr="00974DF5">
        <w:trPr>
          <w:trHeight w:val="450"/>
        </w:trPr>
        <w:tc>
          <w:tcPr>
            <w:tcW w:w="1440" w:type="dxa"/>
            <w:vMerge w:val="restart"/>
            <w:tcBorders>
              <w:top w:val="single" w:sz="4" w:space="0" w:color="auto"/>
              <w:left w:val="single" w:sz="4" w:space="0" w:color="auto"/>
              <w:bottom w:val="single" w:sz="4" w:space="0" w:color="auto"/>
              <w:right w:val="single" w:sz="4" w:space="0" w:color="auto"/>
            </w:tcBorders>
          </w:tcPr>
          <w:p w:rsidR="00E331F8" w:rsidRDefault="00E331F8" w:rsidP="00974DF5">
            <w:pPr>
              <w:jc w:val="center"/>
              <w:rPr>
                <w:rFonts w:ascii="Arial Black" w:hAnsi="Arial Black" w:cs="Mangal"/>
                <w:b/>
                <w:bCs/>
                <w:sz w:val="16"/>
                <w:szCs w:val="16"/>
                <w:lang w:bidi="hi-IN"/>
              </w:rPr>
            </w:pPr>
            <w:r>
              <w:rPr>
                <w:rFonts w:ascii="Arial Black" w:hAnsi="Arial Black" w:cs="Mangal" w:hint="cs"/>
                <w:b/>
                <w:bCs/>
                <w:sz w:val="16"/>
                <w:szCs w:val="16"/>
                <w:cs/>
                <w:lang w:bidi="hi-IN"/>
              </w:rPr>
              <w:t>राज्य का नाम</w:t>
            </w:r>
          </w:p>
        </w:tc>
        <w:tc>
          <w:tcPr>
            <w:tcW w:w="2280" w:type="dxa"/>
            <w:gridSpan w:val="2"/>
            <w:tcBorders>
              <w:top w:val="single" w:sz="4" w:space="0" w:color="auto"/>
              <w:left w:val="single" w:sz="4" w:space="0" w:color="auto"/>
              <w:bottom w:val="single" w:sz="4" w:space="0" w:color="auto"/>
              <w:right w:val="single" w:sz="4" w:space="0" w:color="auto"/>
            </w:tcBorders>
          </w:tcPr>
          <w:p w:rsidR="00E331F8" w:rsidRDefault="00E331F8" w:rsidP="00974DF5">
            <w:pPr>
              <w:jc w:val="center"/>
              <w:rPr>
                <w:rFonts w:ascii="Arial Black" w:hAnsi="Arial Black" w:cs="Arial"/>
                <w:b/>
                <w:bCs/>
                <w:sz w:val="16"/>
                <w:szCs w:val="16"/>
              </w:rPr>
            </w:pPr>
            <w:r>
              <w:rPr>
                <w:rFonts w:ascii="Arial Black" w:hAnsi="Arial Black" w:cs="Arial"/>
                <w:b/>
                <w:bCs/>
                <w:sz w:val="16"/>
                <w:szCs w:val="16"/>
              </w:rPr>
              <w:t>2008-09</w:t>
            </w:r>
          </w:p>
        </w:tc>
        <w:tc>
          <w:tcPr>
            <w:tcW w:w="2601" w:type="dxa"/>
            <w:gridSpan w:val="2"/>
            <w:tcBorders>
              <w:top w:val="single" w:sz="4" w:space="0" w:color="auto"/>
              <w:left w:val="single" w:sz="4" w:space="0" w:color="auto"/>
              <w:bottom w:val="single" w:sz="4" w:space="0" w:color="auto"/>
              <w:right w:val="single" w:sz="4" w:space="0" w:color="auto"/>
            </w:tcBorders>
          </w:tcPr>
          <w:p w:rsidR="00E331F8" w:rsidRDefault="00E331F8" w:rsidP="00974DF5">
            <w:pPr>
              <w:jc w:val="center"/>
              <w:rPr>
                <w:rFonts w:ascii="Arial Black" w:hAnsi="Arial Black" w:cs="Arial"/>
                <w:b/>
                <w:bCs/>
                <w:sz w:val="16"/>
                <w:szCs w:val="16"/>
              </w:rPr>
            </w:pPr>
            <w:r>
              <w:rPr>
                <w:rFonts w:ascii="Arial Black" w:hAnsi="Arial Black" w:cs="Arial"/>
                <w:b/>
                <w:bCs/>
                <w:sz w:val="16"/>
                <w:szCs w:val="16"/>
              </w:rPr>
              <w:t>2009-10</w:t>
            </w:r>
          </w:p>
        </w:tc>
        <w:tc>
          <w:tcPr>
            <w:tcW w:w="2357" w:type="dxa"/>
            <w:gridSpan w:val="2"/>
            <w:tcBorders>
              <w:top w:val="single" w:sz="4" w:space="0" w:color="auto"/>
              <w:left w:val="single" w:sz="4" w:space="0" w:color="auto"/>
              <w:bottom w:val="single" w:sz="4" w:space="0" w:color="auto"/>
              <w:right w:val="single" w:sz="4" w:space="0" w:color="auto"/>
            </w:tcBorders>
          </w:tcPr>
          <w:p w:rsidR="00E331F8" w:rsidRDefault="00E331F8" w:rsidP="00974DF5">
            <w:pPr>
              <w:jc w:val="center"/>
              <w:rPr>
                <w:rFonts w:ascii="Arial Black" w:hAnsi="Arial Black" w:cs="Arial"/>
                <w:b/>
                <w:bCs/>
                <w:sz w:val="16"/>
                <w:szCs w:val="16"/>
              </w:rPr>
            </w:pPr>
            <w:r>
              <w:rPr>
                <w:rFonts w:ascii="Arial Black" w:hAnsi="Arial Black" w:cs="Arial"/>
                <w:b/>
                <w:bCs/>
                <w:sz w:val="16"/>
                <w:szCs w:val="16"/>
              </w:rPr>
              <w:t>2010-11</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center"/>
              <w:rPr>
                <w:rFonts w:ascii="Arial Black" w:hAnsi="Arial Black" w:cs="Arial"/>
                <w:b/>
                <w:bCs/>
                <w:sz w:val="16"/>
                <w:szCs w:val="16"/>
              </w:rPr>
            </w:pPr>
            <w:r>
              <w:rPr>
                <w:rFonts w:ascii="Arial Black" w:hAnsi="Arial Black" w:cs="Arial"/>
                <w:b/>
                <w:bCs/>
                <w:sz w:val="16"/>
                <w:szCs w:val="16"/>
              </w:rPr>
              <w:t>2011-12</w:t>
            </w:r>
          </w:p>
        </w:tc>
      </w:tr>
      <w:tr w:rsidR="00E331F8" w:rsidTr="00974DF5">
        <w:trPr>
          <w:trHeight w:val="285"/>
        </w:trPr>
        <w:tc>
          <w:tcPr>
            <w:tcW w:w="1440" w:type="dxa"/>
            <w:vMerge/>
            <w:tcBorders>
              <w:top w:val="single" w:sz="4" w:space="0" w:color="auto"/>
              <w:left w:val="single" w:sz="4" w:space="0" w:color="auto"/>
              <w:bottom w:val="single" w:sz="4" w:space="0" w:color="auto"/>
              <w:right w:val="single" w:sz="4" w:space="0" w:color="auto"/>
            </w:tcBorders>
            <w:vAlign w:val="center"/>
          </w:tcPr>
          <w:p w:rsidR="00E331F8" w:rsidRDefault="00E331F8" w:rsidP="00974DF5">
            <w:pPr>
              <w:rPr>
                <w:rFonts w:ascii="Arial Black" w:hAnsi="Arial Black" w:cs="Mangal"/>
                <w:b/>
                <w:bCs/>
                <w:sz w:val="16"/>
                <w:szCs w:val="16"/>
                <w:lang w:bidi="hi-IN"/>
              </w:rPr>
            </w:pP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108"/>
              <w:jc w:val="center"/>
              <w:rPr>
                <w:rFonts w:ascii="Arial Black" w:hAnsi="Arial Black" w:cs="Mangal"/>
                <w:b/>
                <w:color w:val="000000"/>
                <w:sz w:val="16"/>
                <w:szCs w:val="16"/>
                <w:lang w:bidi="hi-IN"/>
              </w:rPr>
            </w:pPr>
            <w:r>
              <w:rPr>
                <w:rFonts w:ascii="Arial Black" w:hAnsi="Arial Black" w:cs="Mangal" w:hint="cs"/>
                <w:b/>
                <w:color w:val="000000"/>
                <w:sz w:val="16"/>
                <w:szCs w:val="16"/>
                <w:cs/>
                <w:lang w:bidi="hi-IN"/>
              </w:rPr>
              <w:t>जारी की गई निधियाँ</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center"/>
              <w:rPr>
                <w:rFonts w:ascii="Arial Black" w:hAnsi="Arial Black" w:cs="Mangal"/>
                <w:b/>
                <w:color w:val="000000"/>
                <w:sz w:val="16"/>
                <w:szCs w:val="16"/>
                <w:lang w:bidi="hi-IN"/>
              </w:rPr>
            </w:pPr>
            <w:r>
              <w:rPr>
                <w:rFonts w:ascii="Arial Black" w:hAnsi="Arial Black" w:cs="Mangal" w:hint="cs"/>
                <w:b/>
                <w:color w:val="000000"/>
                <w:sz w:val="16"/>
                <w:szCs w:val="16"/>
                <w:cs/>
                <w:lang w:bidi="hi-IN"/>
              </w:rPr>
              <w:t>सूचित उपयोग</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108"/>
              <w:jc w:val="center"/>
              <w:rPr>
                <w:rFonts w:ascii="Arial Black" w:hAnsi="Arial Black" w:cs="Mangal"/>
                <w:b/>
                <w:color w:val="000000"/>
                <w:sz w:val="16"/>
                <w:szCs w:val="16"/>
                <w:lang w:bidi="hi-IN"/>
              </w:rPr>
            </w:pPr>
            <w:r>
              <w:rPr>
                <w:rFonts w:ascii="Arial Black" w:hAnsi="Arial Black" w:cs="Mangal" w:hint="cs"/>
                <w:b/>
                <w:color w:val="000000"/>
                <w:sz w:val="16"/>
                <w:szCs w:val="16"/>
                <w:cs/>
                <w:lang w:bidi="hi-IN"/>
              </w:rPr>
              <w:t>जारी की गई निधियाँ</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center"/>
              <w:rPr>
                <w:rFonts w:ascii="Arial Black" w:hAnsi="Arial Black" w:cs="Mangal"/>
                <w:b/>
                <w:color w:val="000000"/>
                <w:sz w:val="16"/>
                <w:szCs w:val="16"/>
                <w:lang w:bidi="hi-IN"/>
              </w:rPr>
            </w:pPr>
            <w:r>
              <w:rPr>
                <w:rFonts w:ascii="Arial Black" w:hAnsi="Arial Black" w:cs="Mangal" w:hint="cs"/>
                <w:b/>
                <w:color w:val="000000"/>
                <w:sz w:val="16"/>
                <w:szCs w:val="16"/>
                <w:cs/>
                <w:lang w:bidi="hi-IN"/>
              </w:rPr>
              <w:t>सूचित उपयोग</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ind w:right="-108"/>
              <w:jc w:val="center"/>
              <w:rPr>
                <w:rFonts w:ascii="Arial Black" w:hAnsi="Arial Black" w:cs="Mangal"/>
                <w:b/>
                <w:color w:val="000000"/>
                <w:sz w:val="16"/>
                <w:szCs w:val="16"/>
                <w:lang w:bidi="hi-IN"/>
              </w:rPr>
            </w:pPr>
            <w:r>
              <w:rPr>
                <w:rFonts w:ascii="Arial Black" w:hAnsi="Arial Black" w:cs="Mangal" w:hint="cs"/>
                <w:b/>
                <w:color w:val="000000"/>
                <w:sz w:val="16"/>
                <w:szCs w:val="16"/>
                <w:cs/>
                <w:lang w:bidi="hi-IN"/>
              </w:rPr>
              <w:t>जारी की गई निधियाँ</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jc w:val="center"/>
              <w:rPr>
                <w:rFonts w:ascii="Arial Black" w:hAnsi="Arial Black" w:cs="Mangal"/>
                <w:b/>
                <w:color w:val="000000"/>
                <w:sz w:val="16"/>
                <w:szCs w:val="16"/>
                <w:lang w:bidi="hi-IN"/>
              </w:rPr>
            </w:pPr>
            <w:r>
              <w:rPr>
                <w:rFonts w:ascii="Arial Black" w:hAnsi="Arial Black" w:cs="Mangal" w:hint="cs"/>
                <w:b/>
                <w:color w:val="000000"/>
                <w:sz w:val="16"/>
                <w:szCs w:val="16"/>
                <w:cs/>
                <w:lang w:bidi="hi-IN"/>
              </w:rPr>
              <w:t>सूचित उपयोग</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ind w:right="-108"/>
              <w:jc w:val="center"/>
              <w:rPr>
                <w:rFonts w:ascii="Arial Black" w:hAnsi="Arial Black" w:cs="Mangal"/>
                <w:b/>
                <w:color w:val="000000"/>
                <w:sz w:val="16"/>
                <w:szCs w:val="16"/>
                <w:lang w:bidi="hi-IN"/>
              </w:rPr>
            </w:pPr>
            <w:r>
              <w:rPr>
                <w:rFonts w:ascii="Arial Black" w:hAnsi="Arial Black" w:cs="Mangal" w:hint="cs"/>
                <w:b/>
                <w:color w:val="000000"/>
                <w:sz w:val="16"/>
                <w:szCs w:val="16"/>
                <w:cs/>
                <w:lang w:bidi="hi-IN"/>
              </w:rPr>
              <w:t>जारी की गई निधियाँ</w:t>
            </w:r>
          </w:p>
        </w:tc>
      </w:tr>
      <w:tr w:rsidR="00E331F8" w:rsidTr="00974DF5">
        <w:trPr>
          <w:trHeight w:val="28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आन्ध्र प्रदेश</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color w:val="000000"/>
                <w:sz w:val="16"/>
                <w:szCs w:val="16"/>
              </w:rPr>
            </w:pPr>
          </w:p>
          <w:p w:rsidR="00E331F8" w:rsidRDefault="00E331F8" w:rsidP="00974DF5">
            <w:pPr>
              <w:ind w:right="72"/>
              <w:jc w:val="right"/>
              <w:rPr>
                <w:rFonts w:ascii="Arial Black" w:hAnsi="Arial Black" w:cs="Arial"/>
                <w:color w:val="000000"/>
                <w:sz w:val="16"/>
                <w:szCs w:val="16"/>
              </w:rPr>
            </w:pPr>
            <w:r>
              <w:rPr>
                <w:rFonts w:ascii="Arial Black" w:hAnsi="Arial Black" w:cs="Arial"/>
                <w:color w:val="000000"/>
                <w:sz w:val="16"/>
                <w:szCs w:val="16"/>
              </w:rPr>
              <w:t>83.83</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color w:val="000000"/>
                <w:sz w:val="16"/>
                <w:szCs w:val="16"/>
              </w:rPr>
            </w:pPr>
          </w:p>
          <w:p w:rsidR="00E331F8" w:rsidRDefault="00E331F8" w:rsidP="00974DF5">
            <w:pPr>
              <w:jc w:val="right"/>
              <w:rPr>
                <w:rFonts w:ascii="Arial Black" w:hAnsi="Arial Black" w:cs="Arial"/>
                <w:color w:val="000000"/>
                <w:sz w:val="16"/>
                <w:szCs w:val="16"/>
              </w:rPr>
            </w:pPr>
            <w:r>
              <w:rPr>
                <w:rFonts w:ascii="Arial Black" w:hAnsi="Arial Black" w:cs="Arial"/>
                <w:color w:val="000000"/>
                <w:sz w:val="16"/>
                <w:szCs w:val="16"/>
              </w:rPr>
              <w:t>81.01</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color w:val="000000"/>
                <w:sz w:val="16"/>
                <w:szCs w:val="16"/>
              </w:rPr>
            </w:pPr>
          </w:p>
          <w:p w:rsidR="00E331F8" w:rsidRDefault="00E331F8" w:rsidP="00974DF5">
            <w:pPr>
              <w:ind w:right="72"/>
              <w:jc w:val="right"/>
              <w:rPr>
                <w:rFonts w:ascii="Arial Black" w:hAnsi="Arial Black" w:cs="Arial"/>
                <w:color w:val="000000"/>
                <w:sz w:val="16"/>
                <w:szCs w:val="16"/>
              </w:rPr>
            </w:pPr>
            <w:r>
              <w:rPr>
                <w:rFonts w:ascii="Arial Black" w:hAnsi="Arial Black" w:cs="Arial"/>
                <w:color w:val="000000"/>
                <w:sz w:val="16"/>
                <w:szCs w:val="16"/>
              </w:rPr>
              <w:t>115.54</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color w:val="000000"/>
                <w:sz w:val="16"/>
                <w:szCs w:val="16"/>
              </w:rPr>
            </w:pPr>
          </w:p>
          <w:p w:rsidR="00E331F8" w:rsidRDefault="00E331F8" w:rsidP="00974DF5">
            <w:pPr>
              <w:jc w:val="right"/>
              <w:rPr>
                <w:rFonts w:ascii="Arial Black" w:hAnsi="Arial Black" w:cs="Arial"/>
                <w:color w:val="000000"/>
                <w:sz w:val="16"/>
                <w:szCs w:val="16"/>
              </w:rPr>
            </w:pPr>
            <w:r>
              <w:rPr>
                <w:rFonts w:ascii="Arial Black" w:hAnsi="Arial Black" w:cs="Arial"/>
                <w:color w:val="000000"/>
                <w:sz w:val="16"/>
                <w:szCs w:val="16"/>
              </w:rPr>
              <w:t>61.10</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bCs/>
                <w:sz w:val="16"/>
                <w:szCs w:val="16"/>
              </w:rPr>
            </w:pPr>
          </w:p>
          <w:p w:rsidR="00E331F8" w:rsidRDefault="00E331F8" w:rsidP="00974DF5">
            <w:pPr>
              <w:jc w:val="right"/>
              <w:rPr>
                <w:rFonts w:ascii="Arial Black" w:hAnsi="Arial Black" w:cs="Arial"/>
                <w:bCs/>
                <w:sz w:val="16"/>
                <w:szCs w:val="16"/>
              </w:rPr>
            </w:pPr>
            <w:r>
              <w:rPr>
                <w:rFonts w:ascii="Arial Black" w:hAnsi="Arial Black" w:cs="Arial"/>
                <w:bCs/>
                <w:sz w:val="16"/>
                <w:szCs w:val="16"/>
              </w:rPr>
              <w:t>89.96</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bCs/>
                <w:sz w:val="16"/>
                <w:szCs w:val="16"/>
              </w:rPr>
            </w:pPr>
          </w:p>
          <w:p w:rsidR="00E331F8" w:rsidRDefault="00E331F8" w:rsidP="00974DF5">
            <w:pPr>
              <w:ind w:right="72"/>
              <w:jc w:val="right"/>
              <w:rPr>
                <w:rFonts w:ascii="Arial Black" w:hAnsi="Arial Black" w:cs="Arial"/>
                <w:bCs/>
                <w:sz w:val="16"/>
                <w:szCs w:val="16"/>
              </w:rPr>
            </w:pPr>
            <w:r>
              <w:rPr>
                <w:rFonts w:ascii="Arial Black" w:hAnsi="Arial Black" w:cs="Arial"/>
                <w:bCs/>
                <w:sz w:val="16"/>
                <w:szCs w:val="16"/>
              </w:rPr>
              <w:t>17.71</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p>
          <w:p w:rsidR="00E331F8" w:rsidRDefault="00E331F8" w:rsidP="00974DF5">
            <w:pPr>
              <w:jc w:val="right"/>
              <w:rPr>
                <w:rFonts w:ascii="Arial Black" w:hAnsi="Arial Black" w:cs="Arial"/>
                <w:sz w:val="16"/>
                <w:szCs w:val="16"/>
              </w:rPr>
            </w:pPr>
            <w:r>
              <w:rPr>
                <w:rFonts w:ascii="Arial Black" w:hAnsi="Arial Black" w:cs="Arial"/>
                <w:sz w:val="16"/>
                <w:szCs w:val="16"/>
              </w:rPr>
              <w:t>6.35</w:t>
            </w:r>
          </w:p>
        </w:tc>
      </w:tr>
      <w:tr w:rsidR="00E331F8" w:rsidTr="00974DF5">
        <w:trPr>
          <w:trHeight w:val="270"/>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अरुणाचल प्रदेश</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p>
          <w:p w:rsidR="00E331F8" w:rsidRDefault="00E331F8" w:rsidP="00974DF5">
            <w:pPr>
              <w:ind w:right="72"/>
              <w:jc w:val="right"/>
              <w:rPr>
                <w:rFonts w:ascii="Arial Black" w:hAnsi="Arial Black" w:cs="Arial"/>
                <w:sz w:val="16"/>
                <w:szCs w:val="16"/>
              </w:rPr>
            </w:pPr>
            <w:r>
              <w:rPr>
                <w:rFonts w:ascii="Arial Black" w:hAnsi="Arial Black" w:cs="Arial"/>
                <w:sz w:val="16"/>
                <w:szCs w:val="16"/>
              </w:rPr>
              <w:t>14.72</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p>
          <w:p w:rsidR="00E331F8" w:rsidRDefault="00E331F8" w:rsidP="00974DF5">
            <w:pPr>
              <w:jc w:val="right"/>
              <w:rPr>
                <w:rFonts w:ascii="Arial Black" w:hAnsi="Arial Black" w:cs="Arial"/>
                <w:sz w:val="16"/>
                <w:szCs w:val="16"/>
              </w:rPr>
            </w:pPr>
            <w:r>
              <w:rPr>
                <w:rFonts w:ascii="Arial Black" w:hAnsi="Arial Black" w:cs="Arial"/>
                <w:sz w:val="16"/>
                <w:szCs w:val="16"/>
              </w:rPr>
              <w:t>11.13</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p>
          <w:p w:rsidR="00E331F8" w:rsidRDefault="00E331F8" w:rsidP="00974DF5">
            <w:pPr>
              <w:ind w:right="72"/>
              <w:jc w:val="right"/>
              <w:rPr>
                <w:rFonts w:ascii="Arial Black" w:hAnsi="Arial Black" w:cs="Arial"/>
                <w:sz w:val="16"/>
                <w:szCs w:val="16"/>
              </w:rPr>
            </w:pPr>
            <w:r>
              <w:rPr>
                <w:rFonts w:ascii="Arial Black" w:hAnsi="Arial Black" w:cs="Arial"/>
                <w:sz w:val="16"/>
                <w:szCs w:val="16"/>
              </w:rPr>
              <w:t>11.50</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p>
          <w:p w:rsidR="00E331F8" w:rsidRDefault="00E331F8" w:rsidP="00974DF5">
            <w:pPr>
              <w:jc w:val="right"/>
              <w:rPr>
                <w:rFonts w:ascii="Arial Black" w:hAnsi="Arial Black" w:cs="Arial"/>
                <w:sz w:val="16"/>
                <w:szCs w:val="16"/>
              </w:rPr>
            </w:pPr>
            <w:r>
              <w:rPr>
                <w:rFonts w:ascii="Arial Black" w:hAnsi="Arial Black" w:cs="Arial"/>
                <w:sz w:val="16"/>
                <w:szCs w:val="16"/>
              </w:rPr>
              <w:t>11.30</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p>
          <w:p w:rsidR="00E331F8" w:rsidRDefault="00E331F8" w:rsidP="00974DF5">
            <w:pPr>
              <w:jc w:val="right"/>
              <w:rPr>
                <w:rFonts w:ascii="Arial Black" w:hAnsi="Arial Black" w:cs="Arial"/>
                <w:sz w:val="16"/>
                <w:szCs w:val="16"/>
              </w:rPr>
            </w:pPr>
            <w:r>
              <w:rPr>
                <w:rFonts w:ascii="Arial Black" w:hAnsi="Arial Black" w:cs="Arial"/>
                <w:sz w:val="16"/>
                <w:szCs w:val="16"/>
              </w:rPr>
              <w:t>10.75</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p>
          <w:p w:rsidR="00E331F8" w:rsidRDefault="00E331F8" w:rsidP="00974DF5">
            <w:pPr>
              <w:ind w:right="72"/>
              <w:jc w:val="right"/>
              <w:rPr>
                <w:rFonts w:ascii="Arial Black" w:hAnsi="Arial Black" w:cs="Arial"/>
                <w:sz w:val="16"/>
                <w:szCs w:val="16"/>
              </w:rPr>
            </w:pPr>
            <w:r>
              <w:rPr>
                <w:rFonts w:ascii="Arial Black" w:hAnsi="Arial Black" w:cs="Arial"/>
                <w:sz w:val="16"/>
                <w:szCs w:val="16"/>
              </w:rPr>
              <w:t>6.28</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p>
          <w:p w:rsidR="00E331F8" w:rsidRDefault="00E331F8" w:rsidP="00974DF5">
            <w:pPr>
              <w:jc w:val="right"/>
              <w:rPr>
                <w:rFonts w:ascii="Arial Black" w:hAnsi="Arial Black" w:cs="Arial"/>
                <w:sz w:val="16"/>
                <w:szCs w:val="16"/>
              </w:rPr>
            </w:pPr>
            <w:r>
              <w:rPr>
                <w:rFonts w:ascii="Arial Black" w:hAnsi="Arial Black" w:cs="Arial"/>
                <w:sz w:val="16"/>
                <w:szCs w:val="16"/>
              </w:rPr>
              <w:t>7.08</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असम</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68.11</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60.67</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60.79</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8.40</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48.51</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32.28</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48.02</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बिहार</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41.57</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41.57</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59.34</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59.34</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63.67</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26.00</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28.50</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छत्तीसगढ़</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26.54</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24.81</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17.04</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17.04</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29.08</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19.37</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12.48</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गोवा</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4.00</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3.91</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7.08</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7.09</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2.30</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1.58</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0.08</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गुजरात‍</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48.02</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46.75</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52.18</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47.36</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55.27</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46.35</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33.23</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हरियाणा</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27.51</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27.51</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46.63</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30.47</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30.41</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7.07</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5.23</w:t>
            </w:r>
          </w:p>
        </w:tc>
      </w:tr>
      <w:tr w:rsidR="00E331F8" w:rsidTr="00974DF5">
        <w:trPr>
          <w:trHeight w:val="210"/>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हिमाल प्रदेश</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p>
          <w:p w:rsidR="00E331F8" w:rsidRDefault="00E331F8" w:rsidP="00974DF5">
            <w:pPr>
              <w:ind w:right="72"/>
              <w:jc w:val="right"/>
              <w:rPr>
                <w:rFonts w:ascii="Arial Black" w:hAnsi="Arial Black" w:cs="Arial"/>
                <w:sz w:val="16"/>
                <w:szCs w:val="16"/>
              </w:rPr>
            </w:pPr>
            <w:r>
              <w:rPr>
                <w:rFonts w:ascii="Arial Black" w:hAnsi="Arial Black" w:cs="Arial"/>
                <w:sz w:val="16"/>
                <w:szCs w:val="16"/>
              </w:rPr>
              <w:t>9.99</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p>
          <w:p w:rsidR="00E331F8" w:rsidRDefault="00E331F8" w:rsidP="00974DF5">
            <w:pPr>
              <w:jc w:val="right"/>
              <w:rPr>
                <w:rFonts w:ascii="Arial Black" w:hAnsi="Arial Black" w:cs="Arial"/>
                <w:sz w:val="16"/>
                <w:szCs w:val="16"/>
              </w:rPr>
            </w:pPr>
            <w:r>
              <w:rPr>
                <w:rFonts w:ascii="Arial Black" w:hAnsi="Arial Black" w:cs="Arial"/>
                <w:sz w:val="16"/>
                <w:szCs w:val="16"/>
              </w:rPr>
              <w:t>9.93</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7.10</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7.10</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6.36</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0.34</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5.91</w:t>
            </w:r>
          </w:p>
        </w:tc>
      </w:tr>
      <w:tr w:rsidR="00E331F8" w:rsidTr="00974DF5">
        <w:trPr>
          <w:trHeight w:val="25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जम्मू और कश्मीर</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p>
          <w:p w:rsidR="00E331F8" w:rsidRDefault="00E331F8" w:rsidP="00974DF5">
            <w:pPr>
              <w:ind w:right="72"/>
              <w:jc w:val="right"/>
              <w:rPr>
                <w:rFonts w:ascii="Arial Black" w:hAnsi="Arial Black" w:cs="Arial"/>
                <w:sz w:val="16"/>
                <w:szCs w:val="16"/>
              </w:rPr>
            </w:pPr>
            <w:r>
              <w:rPr>
                <w:rFonts w:ascii="Arial Black" w:hAnsi="Arial Black" w:cs="Arial"/>
                <w:sz w:val="16"/>
                <w:szCs w:val="16"/>
              </w:rPr>
              <w:t>109.65</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p>
          <w:p w:rsidR="00E331F8" w:rsidRDefault="00E331F8" w:rsidP="00974DF5">
            <w:pPr>
              <w:jc w:val="right"/>
              <w:rPr>
                <w:rFonts w:ascii="Arial Black" w:hAnsi="Arial Black" w:cs="Arial"/>
                <w:sz w:val="16"/>
                <w:szCs w:val="16"/>
              </w:rPr>
            </w:pPr>
            <w:r>
              <w:rPr>
                <w:rFonts w:ascii="Arial Black" w:hAnsi="Arial Black" w:cs="Arial"/>
                <w:sz w:val="16"/>
                <w:szCs w:val="16"/>
              </w:rPr>
              <w:t>109.65</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111.18</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111.18</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148.25</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132.24</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109.73</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झारखंड</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69.85</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66.00</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33.49</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28.30</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36.90</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0</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6.58</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कर्नाटक</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69.61</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69.61</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63.96</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63.77</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83.01</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57.94</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53.37</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केरल</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22.90</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22.90</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32.54</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32.54</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42.68</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41.55</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27.05</w:t>
            </w:r>
          </w:p>
        </w:tc>
      </w:tr>
      <w:tr w:rsidR="00E331F8" w:rsidTr="00974DF5">
        <w:trPr>
          <w:trHeight w:val="25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मध्य प्रदेश</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40.37</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40.37</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54.87</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49.73</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72.41</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51.50</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37.54</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महाराष्ट्र</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p>
          <w:p w:rsidR="00E331F8" w:rsidRDefault="00E331F8" w:rsidP="00974DF5">
            <w:pPr>
              <w:ind w:right="72"/>
              <w:jc w:val="right"/>
              <w:rPr>
                <w:rFonts w:ascii="Arial Black" w:hAnsi="Arial Black" w:cs="Arial"/>
                <w:sz w:val="16"/>
                <w:szCs w:val="16"/>
              </w:rPr>
            </w:pPr>
            <w:r>
              <w:rPr>
                <w:rFonts w:ascii="Arial Black" w:hAnsi="Arial Black" w:cs="Arial"/>
                <w:sz w:val="16"/>
                <w:szCs w:val="16"/>
              </w:rPr>
              <w:t>75.86</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p>
          <w:p w:rsidR="00E331F8" w:rsidRDefault="00E331F8" w:rsidP="00974DF5">
            <w:pPr>
              <w:jc w:val="right"/>
              <w:rPr>
                <w:rFonts w:ascii="Arial Black" w:hAnsi="Arial Black" w:cs="Arial"/>
                <w:sz w:val="16"/>
                <w:szCs w:val="16"/>
              </w:rPr>
            </w:pPr>
            <w:r>
              <w:rPr>
                <w:rFonts w:ascii="Arial Black" w:hAnsi="Arial Black" w:cs="Arial"/>
                <w:sz w:val="16"/>
                <w:szCs w:val="16"/>
              </w:rPr>
              <w:t>72.08</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72.48</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70.48</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42.26</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35.30</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64.72</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मणिपुर</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39.23</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32.96</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27.44</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17.34</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26.63</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24.44</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38.76</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मेघालय</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10.81</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10.81</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9.73</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8.33</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8.48</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0</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6.69</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मिजोरम</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12.69</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12.69</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11.48</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11.48</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19.55</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0</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13.18</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नागालैंड</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38.42</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38.42</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31.50</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31.50</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33.77</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33.77</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30.08</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ओडिशा</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42.54</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42.54</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51.87</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51.84</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54.24</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54.24</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20.28</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पंजाब</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21.56</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21.56</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33.50</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32.45</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26.08</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0</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32.12</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राजस्थान</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49.10</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48.34</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51.18</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48.66</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47.88</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45.23</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33.17</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सिक्किम</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6.12</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6.12</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4.72</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4.12</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2.17</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1.24</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5.02</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तमिलनाडु</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50.10</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50.10</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60.67</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45.46</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92.52</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44.51</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43.19</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त्रिपुरा</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20.66</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20.66</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22.92</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22.02</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23.08</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18.54</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16.35</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उत्तर प्रदेश</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102.31</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91.43</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125.17</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125.17</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77.61</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33.02</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61.76</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lastRenderedPageBreak/>
              <w:t>उत्तराखंड</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19.39</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19.39</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5.29</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5.29</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6.35</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0</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5.75</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color w:val="000000"/>
                <w:sz w:val="16"/>
                <w:szCs w:val="16"/>
                <w:lang w:bidi="hi-IN"/>
              </w:rPr>
            </w:pPr>
            <w:r>
              <w:rPr>
                <w:rFonts w:ascii="Arial Black" w:hAnsi="Arial Black" w:cs="Mangal" w:hint="cs"/>
                <w:color w:val="000000"/>
                <w:sz w:val="16"/>
                <w:szCs w:val="16"/>
                <w:cs/>
                <w:lang w:bidi="hi-IN"/>
              </w:rPr>
              <w:t>पश्चिम बंगाल</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32.18</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31.93</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48.81</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48.81</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43.73</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sz w:val="16"/>
                <w:szCs w:val="16"/>
              </w:rPr>
            </w:pPr>
            <w:r>
              <w:rPr>
                <w:rFonts w:ascii="Arial Black" w:hAnsi="Arial Black" w:cs="Arial"/>
                <w:sz w:val="16"/>
                <w:szCs w:val="16"/>
              </w:rPr>
              <w:t>0</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sz w:val="16"/>
                <w:szCs w:val="16"/>
              </w:rPr>
            </w:pPr>
            <w:r>
              <w:rPr>
                <w:rFonts w:ascii="Arial Black" w:hAnsi="Arial Black" w:cs="Arial"/>
                <w:sz w:val="16"/>
                <w:szCs w:val="16"/>
              </w:rPr>
              <w:t>47.78</w:t>
            </w:r>
          </w:p>
        </w:tc>
      </w:tr>
      <w:tr w:rsidR="00E331F8" w:rsidTr="00974DF5">
        <w:trPr>
          <w:trHeight w:val="225"/>
        </w:trPr>
        <w:tc>
          <w:tcPr>
            <w:tcW w:w="144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Mangal"/>
                <w:b/>
                <w:bCs/>
                <w:color w:val="000000"/>
                <w:sz w:val="16"/>
                <w:szCs w:val="16"/>
                <w:lang w:bidi="hi-IN"/>
              </w:rPr>
            </w:pPr>
            <w:r>
              <w:rPr>
                <w:rFonts w:ascii="Arial Black" w:hAnsi="Arial Black" w:cs="Mangal" w:hint="cs"/>
                <w:b/>
                <w:bCs/>
                <w:color w:val="000000"/>
                <w:sz w:val="16"/>
                <w:szCs w:val="16"/>
                <w:cs/>
                <w:lang w:bidi="hi-IN"/>
              </w:rPr>
              <w:t>कुल</w:t>
            </w:r>
          </w:p>
        </w:tc>
        <w:tc>
          <w:tcPr>
            <w:tcW w:w="120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Arial"/>
                <w:b/>
                <w:bCs/>
                <w:sz w:val="16"/>
                <w:szCs w:val="16"/>
              </w:rPr>
            </w:pPr>
            <w:r>
              <w:rPr>
                <w:rFonts w:ascii="Arial Black" w:hAnsi="Arial Black" w:cs="Arial"/>
                <w:b/>
                <w:bCs/>
                <w:sz w:val="16"/>
                <w:szCs w:val="16"/>
              </w:rPr>
              <w:t xml:space="preserve">   1157.64</w:t>
            </w:r>
          </w:p>
        </w:tc>
        <w:tc>
          <w:tcPr>
            <w:tcW w:w="1080" w:type="dxa"/>
            <w:tcBorders>
              <w:top w:val="single" w:sz="4" w:space="0" w:color="auto"/>
              <w:left w:val="single" w:sz="4" w:space="0" w:color="auto"/>
              <w:bottom w:val="single" w:sz="4" w:space="0" w:color="auto"/>
              <w:right w:val="single" w:sz="4" w:space="0" w:color="auto"/>
            </w:tcBorders>
          </w:tcPr>
          <w:p w:rsidR="00E331F8" w:rsidRDefault="00E331F8" w:rsidP="00974DF5">
            <w:pPr>
              <w:ind w:left="-108" w:right="-108"/>
              <w:jc w:val="both"/>
              <w:rPr>
                <w:rFonts w:ascii="Arial Black" w:hAnsi="Arial Black" w:cs="Arial"/>
                <w:b/>
                <w:bCs/>
                <w:sz w:val="16"/>
                <w:szCs w:val="16"/>
              </w:rPr>
            </w:pPr>
            <w:r>
              <w:rPr>
                <w:rFonts w:ascii="Arial Black" w:hAnsi="Arial Black" w:cs="Arial"/>
                <w:b/>
                <w:bCs/>
                <w:sz w:val="16"/>
                <w:szCs w:val="16"/>
              </w:rPr>
              <w:t xml:space="preserve">       1114.85</w:t>
            </w:r>
          </w:p>
        </w:tc>
        <w:tc>
          <w:tcPr>
            <w:tcW w:w="1320" w:type="dxa"/>
            <w:tcBorders>
              <w:top w:val="single" w:sz="4" w:space="0" w:color="auto"/>
              <w:left w:val="single" w:sz="4" w:space="0" w:color="auto"/>
              <w:bottom w:val="single" w:sz="4" w:space="0" w:color="auto"/>
              <w:right w:val="single" w:sz="4" w:space="0" w:color="auto"/>
            </w:tcBorders>
          </w:tcPr>
          <w:p w:rsidR="00E331F8" w:rsidRDefault="00E331F8" w:rsidP="00974DF5">
            <w:pPr>
              <w:jc w:val="both"/>
              <w:rPr>
                <w:rFonts w:ascii="Arial Black" w:hAnsi="Arial Black" w:cs="Arial"/>
                <w:b/>
                <w:bCs/>
                <w:sz w:val="16"/>
                <w:szCs w:val="16"/>
              </w:rPr>
            </w:pPr>
            <w:r>
              <w:rPr>
                <w:rFonts w:ascii="Arial Black" w:hAnsi="Arial Black" w:cs="Arial"/>
                <w:b/>
                <w:bCs/>
                <w:sz w:val="16"/>
                <w:szCs w:val="16"/>
              </w:rPr>
              <w:t xml:space="preserve">   1230.00</w:t>
            </w:r>
          </w:p>
        </w:tc>
        <w:tc>
          <w:tcPr>
            <w:tcW w:w="1281" w:type="dxa"/>
            <w:tcBorders>
              <w:top w:val="single" w:sz="4" w:space="0" w:color="auto"/>
              <w:left w:val="single" w:sz="4" w:space="0" w:color="auto"/>
              <w:bottom w:val="single" w:sz="4" w:space="0" w:color="auto"/>
              <w:right w:val="single" w:sz="4" w:space="0" w:color="auto"/>
            </w:tcBorders>
          </w:tcPr>
          <w:p w:rsidR="00E331F8" w:rsidRDefault="00E331F8" w:rsidP="00974DF5">
            <w:pPr>
              <w:ind w:left="-108" w:right="-108"/>
              <w:jc w:val="both"/>
              <w:rPr>
                <w:rFonts w:ascii="Arial Black" w:hAnsi="Arial Black" w:cs="Arial"/>
                <w:b/>
                <w:bCs/>
                <w:sz w:val="16"/>
                <w:szCs w:val="16"/>
              </w:rPr>
            </w:pPr>
            <w:r>
              <w:rPr>
                <w:rFonts w:ascii="Arial Black" w:hAnsi="Arial Black" w:cs="Arial"/>
                <w:b/>
                <w:bCs/>
                <w:sz w:val="16"/>
                <w:szCs w:val="16"/>
              </w:rPr>
              <w:t xml:space="preserve">         1026.29</w:t>
            </w:r>
          </w:p>
        </w:tc>
        <w:tc>
          <w:tcPr>
            <w:tcW w:w="1119"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b/>
                <w:sz w:val="16"/>
                <w:szCs w:val="16"/>
              </w:rPr>
            </w:pPr>
            <w:r>
              <w:rPr>
                <w:rFonts w:ascii="Arial Black" w:hAnsi="Arial Black" w:cs="Arial"/>
                <w:b/>
                <w:sz w:val="16"/>
                <w:szCs w:val="16"/>
              </w:rPr>
              <w:t>1224.63</w:t>
            </w:r>
          </w:p>
        </w:tc>
        <w:tc>
          <w:tcPr>
            <w:tcW w:w="1238" w:type="dxa"/>
            <w:tcBorders>
              <w:top w:val="single" w:sz="4" w:space="0" w:color="auto"/>
              <w:left w:val="single" w:sz="4" w:space="0" w:color="auto"/>
              <w:bottom w:val="single" w:sz="4" w:space="0" w:color="auto"/>
              <w:right w:val="single" w:sz="4" w:space="0" w:color="auto"/>
            </w:tcBorders>
          </w:tcPr>
          <w:p w:rsidR="00E331F8" w:rsidRDefault="00E331F8" w:rsidP="00974DF5">
            <w:pPr>
              <w:ind w:right="72"/>
              <w:jc w:val="right"/>
              <w:rPr>
                <w:rFonts w:ascii="Arial Black" w:hAnsi="Arial Black" w:cs="Arial"/>
                <w:b/>
                <w:sz w:val="16"/>
                <w:szCs w:val="16"/>
              </w:rPr>
            </w:pPr>
            <w:r>
              <w:rPr>
                <w:rFonts w:ascii="Arial Black" w:hAnsi="Arial Black" w:cs="Arial"/>
                <w:b/>
                <w:sz w:val="16"/>
                <w:szCs w:val="16"/>
              </w:rPr>
              <w:t>730.50</w:t>
            </w:r>
          </w:p>
        </w:tc>
        <w:tc>
          <w:tcPr>
            <w:tcW w:w="1260" w:type="dxa"/>
            <w:tcBorders>
              <w:top w:val="single" w:sz="4" w:space="0" w:color="auto"/>
              <w:left w:val="single" w:sz="4" w:space="0" w:color="auto"/>
              <w:bottom w:val="single" w:sz="4" w:space="0" w:color="auto"/>
              <w:right w:val="single" w:sz="4" w:space="0" w:color="auto"/>
            </w:tcBorders>
          </w:tcPr>
          <w:p w:rsidR="00E331F8" w:rsidRDefault="00E331F8" w:rsidP="00974DF5">
            <w:pPr>
              <w:jc w:val="right"/>
              <w:rPr>
                <w:rFonts w:ascii="Arial Black" w:hAnsi="Arial Black" w:cs="Arial"/>
                <w:b/>
                <w:bCs/>
                <w:sz w:val="16"/>
                <w:szCs w:val="16"/>
              </w:rPr>
            </w:pPr>
            <w:r>
              <w:rPr>
                <w:rFonts w:ascii="Arial Black" w:hAnsi="Arial Black" w:cs="Arial"/>
                <w:b/>
                <w:bCs/>
                <w:sz w:val="16"/>
                <w:szCs w:val="16"/>
              </w:rPr>
              <w:fldChar w:fldCharType="begin"/>
            </w:r>
            <w:r>
              <w:rPr>
                <w:rFonts w:ascii="Arial Black" w:hAnsi="Arial Black" w:cs="Arial"/>
                <w:b/>
                <w:bCs/>
                <w:sz w:val="16"/>
                <w:szCs w:val="16"/>
              </w:rPr>
              <w:instrText xml:space="preserve"> =SUM(ABOVE) </w:instrText>
            </w:r>
            <w:r>
              <w:rPr>
                <w:rFonts w:ascii="Arial Black" w:hAnsi="Arial Black" w:cs="Arial"/>
                <w:b/>
                <w:bCs/>
                <w:sz w:val="16"/>
                <w:szCs w:val="16"/>
              </w:rPr>
              <w:fldChar w:fldCharType="separate"/>
            </w:r>
            <w:r>
              <w:rPr>
                <w:rFonts w:ascii="Arial Black" w:hAnsi="Arial Black" w:cs="Arial"/>
                <w:b/>
                <w:bCs/>
                <w:noProof/>
                <w:sz w:val="16"/>
                <w:szCs w:val="16"/>
              </w:rPr>
              <w:t>800</w:t>
            </w:r>
            <w:r>
              <w:rPr>
                <w:rFonts w:ascii="Arial Black" w:hAnsi="Arial Black" w:cs="Arial"/>
                <w:b/>
                <w:bCs/>
                <w:sz w:val="16"/>
                <w:szCs w:val="16"/>
              </w:rPr>
              <w:fldChar w:fldCharType="end"/>
            </w:r>
            <w:r>
              <w:rPr>
                <w:rFonts w:ascii="Arial Black" w:hAnsi="Arial Black" w:cs="Arial"/>
                <w:b/>
                <w:bCs/>
                <w:sz w:val="16"/>
                <w:szCs w:val="16"/>
              </w:rPr>
              <w:t>.00</w:t>
            </w:r>
          </w:p>
        </w:tc>
      </w:tr>
    </w:tbl>
    <w:p w:rsidR="00E331F8" w:rsidRPr="008078A1" w:rsidRDefault="00E331F8" w:rsidP="00E331F8">
      <w:pPr>
        <w:spacing w:before="100" w:beforeAutospacing="1" w:after="100" w:afterAutospacing="1"/>
        <w:ind w:left="-1080"/>
        <w:contextualSpacing/>
        <w:jc w:val="center"/>
        <w:rPr>
          <w:rFonts w:ascii="Arial Black" w:eastAsia="PMingLiU" w:hAnsi="Arial Black" w:cs="Mangal"/>
          <w:sz w:val="20"/>
          <w:szCs w:val="20"/>
          <w:lang w:val="en-IN" w:eastAsia="zh-TW" w:bidi="hi-IN"/>
        </w:rPr>
      </w:pPr>
      <w:r w:rsidRPr="008078A1">
        <w:rPr>
          <w:rFonts w:ascii="Arial Black" w:eastAsia="PMingLiU" w:hAnsi="Arial Black" w:cs="Mangal" w:hint="cs"/>
          <w:sz w:val="20"/>
          <w:szCs w:val="20"/>
          <w:cs/>
          <w:lang w:eastAsia="zh-TW" w:bidi="hi-IN"/>
        </w:rPr>
        <w:t xml:space="preserve">वर्ष </w:t>
      </w:r>
      <w:r w:rsidRPr="008078A1">
        <w:rPr>
          <w:rFonts w:ascii="Arial Black" w:eastAsia="PMingLiU" w:hAnsi="Arial Black"/>
          <w:sz w:val="20"/>
          <w:szCs w:val="20"/>
          <w:lang w:val="en-IN" w:eastAsia="zh-TW" w:bidi="hi-IN"/>
        </w:rPr>
        <w:t xml:space="preserve">2011-12  </w:t>
      </w:r>
      <w:r w:rsidRPr="008078A1">
        <w:rPr>
          <w:rFonts w:ascii="Arial Black" w:eastAsia="PMingLiU" w:hAnsi="Arial Black" w:cs="Mangal" w:hint="cs"/>
          <w:sz w:val="20"/>
          <w:szCs w:val="20"/>
          <w:cs/>
          <w:lang w:eastAsia="zh-TW" w:bidi="hi-IN"/>
        </w:rPr>
        <w:t xml:space="preserve">के दौरान जारी की गईं निधियों का उपयोगिता प्रमाण पत्र दिनांक </w:t>
      </w:r>
      <w:r w:rsidRPr="008078A1">
        <w:rPr>
          <w:rFonts w:ascii="Arial Black" w:eastAsia="PMingLiU" w:hAnsi="Arial Black"/>
          <w:sz w:val="20"/>
          <w:szCs w:val="20"/>
          <w:lang w:val="en-IN" w:eastAsia="zh-TW" w:bidi="hi-IN"/>
        </w:rPr>
        <w:t>01.04.2013</w:t>
      </w:r>
      <w:r>
        <w:rPr>
          <w:rFonts w:ascii="Arial Black" w:eastAsia="PMingLiU" w:hAnsi="Arial Black" w:cs="Mangal" w:hint="cs"/>
          <w:sz w:val="20"/>
          <w:szCs w:val="20"/>
          <w:cs/>
          <w:lang w:eastAsia="zh-TW" w:bidi="hi-IN"/>
        </w:rPr>
        <w:t xml:space="preserve"> को देय</w:t>
      </w:r>
      <w:r w:rsidRPr="008078A1">
        <w:rPr>
          <w:rFonts w:ascii="Arial Black" w:eastAsia="PMingLiU" w:hAnsi="Arial Black" w:cs="Mangal" w:hint="cs"/>
          <w:sz w:val="20"/>
          <w:szCs w:val="20"/>
          <w:cs/>
          <w:lang w:eastAsia="zh-TW" w:bidi="hi-IN"/>
        </w:rPr>
        <w:t xml:space="preserve"> होगा।</w:t>
      </w:r>
    </w:p>
    <w:p w:rsidR="00E331F8" w:rsidRDefault="00E331F8" w:rsidP="00E331F8">
      <w:pPr>
        <w:spacing w:before="100" w:beforeAutospacing="1" w:after="100" w:afterAutospacing="1"/>
        <w:jc w:val="center"/>
        <w:rPr>
          <w:rFonts w:ascii="Arial Black" w:eastAsia="PMingLiU" w:hAnsi="Arial Black" w:cs="Mangal" w:hint="cs"/>
          <w:sz w:val="20"/>
          <w:szCs w:val="20"/>
          <w:lang w:eastAsia="zh-TW" w:bidi="hi-IN"/>
        </w:rPr>
      </w:pPr>
    </w:p>
    <w:p w:rsidR="00E331F8" w:rsidRPr="008078A1" w:rsidRDefault="00E331F8" w:rsidP="00E331F8">
      <w:pPr>
        <w:spacing w:before="100" w:beforeAutospacing="1" w:after="100" w:afterAutospacing="1"/>
        <w:jc w:val="center"/>
        <w:rPr>
          <w:rFonts w:ascii="Arial Black" w:eastAsia="PMingLiU" w:hAnsi="Arial Black" w:cs="Mangal"/>
          <w:sz w:val="20"/>
          <w:szCs w:val="20"/>
          <w:lang w:val="en-IN" w:eastAsia="zh-TW" w:bidi="hi-IN"/>
        </w:rPr>
      </w:pPr>
      <w:r>
        <w:rPr>
          <w:rFonts w:ascii="Arial Black" w:eastAsia="PMingLiU" w:hAnsi="Arial Black" w:cs="Mangal" w:hint="cs"/>
          <w:sz w:val="20"/>
          <w:szCs w:val="20"/>
          <w:cs/>
          <w:lang w:eastAsia="zh-TW" w:bidi="hi-IN"/>
        </w:rPr>
        <w:t>----</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E331F8"/>
    <w:rsid w:val="004323DA"/>
    <w:rsid w:val="009E124D"/>
    <w:rsid w:val="00B324A4"/>
    <w:rsid w:val="00D51B35"/>
    <w:rsid w:val="00E33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1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3460</Characters>
  <Application>Microsoft Office Word</Application>
  <DocSecurity>0</DocSecurity>
  <Lines>28</Lines>
  <Paragraphs>8</Paragraphs>
  <ScaleCrop>false</ScaleCrop>
  <Company>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2012-08-30T05:30:00Z</dcterms:created>
  <dcterms:modified xsi:type="dcterms:W3CDTF">2012-08-30T05:30:00Z</dcterms:modified>
</cp:coreProperties>
</file>