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28"/>
        <w:gridCol w:w="7920"/>
      </w:tblGrid>
      <w:tr w:rsidR="003372B1" w:rsidRPr="00D070B2" w:rsidTr="00016774">
        <w:tc>
          <w:tcPr>
            <w:tcW w:w="828" w:type="dxa"/>
            <w:shd w:val="clear" w:color="auto" w:fill="auto"/>
          </w:tcPr>
          <w:p w:rsidR="003372B1" w:rsidRPr="00D070B2" w:rsidRDefault="003372B1" w:rsidP="00016774">
            <w:pPr>
              <w:rPr>
                <w:rFonts w:cs="Mangal"/>
                <w:b/>
                <w:bCs/>
                <w:sz w:val="16"/>
                <w:szCs w:val="16"/>
                <w:lang w:bidi="hi-IN"/>
              </w:rPr>
            </w:pPr>
            <w:bookmarkStart w:id="0" w:name="_GoBack"/>
            <w:bookmarkEnd w:id="0"/>
            <w:r w:rsidRPr="00D070B2">
              <w:rPr>
                <w:rFonts w:cs="Mangal" w:hint="cs"/>
                <w:b/>
                <w:bCs/>
                <w:sz w:val="16"/>
                <w:szCs w:val="16"/>
                <w:cs/>
                <w:lang w:bidi="hi-IN"/>
              </w:rPr>
              <w:t>(क)</w:t>
            </w:r>
          </w:p>
        </w:tc>
        <w:tc>
          <w:tcPr>
            <w:tcW w:w="7920"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क्‍या यह सच है कि अक्‍तूबर, 2011 में महंगाई 6 महीने के उच्‍चतम स्‍तर पर पहुंच गई थी;</w:t>
            </w:r>
          </w:p>
        </w:tc>
      </w:tr>
      <w:tr w:rsidR="003372B1" w:rsidRPr="00D070B2" w:rsidTr="00016774">
        <w:tc>
          <w:tcPr>
            <w:tcW w:w="828" w:type="dxa"/>
            <w:shd w:val="clear" w:color="auto" w:fill="auto"/>
          </w:tcPr>
          <w:p w:rsidR="003372B1" w:rsidRPr="00D070B2" w:rsidRDefault="003372B1" w:rsidP="00016774">
            <w:pPr>
              <w:rPr>
                <w:rFonts w:cs="Mangal"/>
                <w:b/>
                <w:bCs/>
                <w:sz w:val="16"/>
                <w:szCs w:val="16"/>
                <w:lang w:bidi="hi-IN"/>
              </w:rPr>
            </w:pPr>
            <w:r w:rsidRPr="00D070B2">
              <w:rPr>
                <w:rFonts w:cs="Mangal" w:hint="cs"/>
                <w:b/>
                <w:bCs/>
                <w:sz w:val="16"/>
                <w:szCs w:val="16"/>
                <w:cs/>
                <w:lang w:bidi="hi-IN"/>
              </w:rPr>
              <w:t>(ख)</w:t>
            </w:r>
          </w:p>
        </w:tc>
        <w:tc>
          <w:tcPr>
            <w:tcW w:w="7920" w:type="dxa"/>
            <w:shd w:val="clear" w:color="auto" w:fill="auto"/>
          </w:tcPr>
          <w:p w:rsidR="003372B1" w:rsidRPr="00D070B2" w:rsidRDefault="003372B1" w:rsidP="00016774">
            <w:pPr>
              <w:rPr>
                <w:rFonts w:cs="Mangal"/>
                <w:sz w:val="16"/>
                <w:szCs w:val="16"/>
                <w:lang w:bidi="hi-IN"/>
              </w:rPr>
            </w:pPr>
            <w:r w:rsidRPr="00D070B2">
              <w:rPr>
                <w:rFonts w:cs="Mangal" w:hint="cs"/>
                <w:sz w:val="16"/>
                <w:szCs w:val="16"/>
                <w:cs/>
                <w:lang w:bidi="hi-IN"/>
              </w:rPr>
              <w:t xml:space="preserve">यदि हां, तो तत्‍संबंधी ब्‍यौरा क्‍या है; और </w:t>
            </w:r>
          </w:p>
        </w:tc>
      </w:tr>
      <w:tr w:rsidR="003372B1" w:rsidRPr="00D070B2" w:rsidTr="00016774">
        <w:tc>
          <w:tcPr>
            <w:tcW w:w="828" w:type="dxa"/>
            <w:shd w:val="clear" w:color="auto" w:fill="auto"/>
          </w:tcPr>
          <w:p w:rsidR="003372B1" w:rsidRPr="00D070B2" w:rsidRDefault="003372B1" w:rsidP="00016774">
            <w:pPr>
              <w:rPr>
                <w:rFonts w:cs="Mangal"/>
                <w:b/>
                <w:bCs/>
                <w:sz w:val="16"/>
                <w:szCs w:val="16"/>
                <w:cs/>
                <w:lang w:bidi="hi-IN"/>
              </w:rPr>
            </w:pPr>
            <w:r w:rsidRPr="00D070B2">
              <w:rPr>
                <w:rFonts w:cs="Mangal" w:hint="cs"/>
                <w:b/>
                <w:bCs/>
                <w:sz w:val="16"/>
                <w:szCs w:val="16"/>
                <w:cs/>
                <w:lang w:bidi="hi-IN"/>
              </w:rPr>
              <w:t>(ग)</w:t>
            </w:r>
          </w:p>
        </w:tc>
        <w:tc>
          <w:tcPr>
            <w:tcW w:w="7920" w:type="dxa"/>
            <w:shd w:val="clear" w:color="auto" w:fill="auto"/>
          </w:tcPr>
          <w:p w:rsidR="003372B1" w:rsidRPr="00D070B2" w:rsidRDefault="003372B1" w:rsidP="00016774">
            <w:pPr>
              <w:rPr>
                <w:rFonts w:cs="Mangal"/>
                <w:sz w:val="16"/>
                <w:szCs w:val="16"/>
                <w:cs/>
                <w:lang w:bidi="hi-IN"/>
              </w:rPr>
            </w:pPr>
            <w:r w:rsidRPr="00D070B2">
              <w:rPr>
                <w:rFonts w:cs="Mangal" w:hint="cs"/>
                <w:sz w:val="16"/>
                <w:szCs w:val="16"/>
                <w:cs/>
                <w:lang w:bidi="hi-IN"/>
              </w:rPr>
              <w:t>पिछले एक वर्ष के दौरान महंगाई को नियंत्रित करने के लिए सरकार द्वारा किए गए नीतिगत उपायों का उपलब्‍धि सहित ब्‍यौरा क्‍या है</w:t>
            </w:r>
            <w:r w:rsidRPr="00D070B2">
              <w:rPr>
                <w:rFonts w:cs="Mangal"/>
                <w:sz w:val="16"/>
                <w:szCs w:val="16"/>
                <w:lang w:bidi="hi-IN"/>
              </w:rPr>
              <w:t>?</w:t>
            </w:r>
          </w:p>
        </w:tc>
      </w:tr>
    </w:tbl>
    <w:p w:rsidR="003372B1" w:rsidRPr="002F2802" w:rsidRDefault="003372B1" w:rsidP="003372B1">
      <w:pPr>
        <w:jc w:val="center"/>
        <w:rPr>
          <w:rFonts w:cs="Mangal"/>
          <w:b/>
          <w:bCs/>
          <w:sz w:val="16"/>
          <w:szCs w:val="16"/>
          <w:lang w:bidi="hi-IN"/>
        </w:rPr>
      </w:pPr>
    </w:p>
    <w:p w:rsidR="003372B1" w:rsidRPr="002F2802" w:rsidRDefault="003372B1" w:rsidP="003372B1">
      <w:pPr>
        <w:jc w:val="center"/>
        <w:rPr>
          <w:rFonts w:cs="Mangal"/>
          <w:b/>
          <w:bCs/>
          <w:sz w:val="16"/>
          <w:szCs w:val="16"/>
          <w:lang w:bidi="hi-IN"/>
        </w:rPr>
      </w:pPr>
      <w:r w:rsidRPr="002F2802">
        <w:rPr>
          <w:rFonts w:cs="Mangal" w:hint="cs"/>
          <w:b/>
          <w:bCs/>
          <w:sz w:val="16"/>
          <w:szCs w:val="16"/>
          <w:cs/>
          <w:lang w:bidi="hi-IN"/>
        </w:rPr>
        <w:t xml:space="preserve">उत्‍तर </w:t>
      </w:r>
    </w:p>
    <w:p w:rsidR="003372B1" w:rsidRPr="002F2802" w:rsidRDefault="003372B1" w:rsidP="003372B1">
      <w:pPr>
        <w:jc w:val="center"/>
        <w:rPr>
          <w:rFonts w:cs="Mangal"/>
          <w:b/>
          <w:bCs/>
          <w:sz w:val="16"/>
          <w:szCs w:val="16"/>
          <w:lang w:bidi="hi-IN"/>
        </w:rPr>
      </w:pPr>
    </w:p>
    <w:p w:rsidR="003372B1" w:rsidRPr="002F2802" w:rsidRDefault="003372B1" w:rsidP="003372B1">
      <w:pPr>
        <w:jc w:val="center"/>
        <w:rPr>
          <w:rFonts w:cs="Mangal"/>
          <w:b/>
          <w:bCs/>
          <w:sz w:val="16"/>
          <w:szCs w:val="16"/>
          <w:lang w:bidi="hi-IN"/>
        </w:rPr>
      </w:pPr>
      <w:r w:rsidRPr="002F2802">
        <w:rPr>
          <w:rFonts w:cs="Mangal" w:hint="cs"/>
          <w:b/>
          <w:bCs/>
          <w:sz w:val="16"/>
          <w:szCs w:val="16"/>
          <w:cs/>
          <w:lang w:bidi="hi-IN"/>
        </w:rPr>
        <w:t>वित्‍त मंत्रालय में राज्‍य मंत्री (श्री नमो नारायन मीना)</w:t>
      </w:r>
    </w:p>
    <w:p w:rsidR="003372B1" w:rsidRPr="002F2802" w:rsidRDefault="003372B1" w:rsidP="003372B1">
      <w:pPr>
        <w:rPr>
          <w:rFonts w:cs="Mangal"/>
          <w:sz w:val="16"/>
          <w:szCs w:val="16"/>
          <w:lang w:bidi="hi-IN"/>
        </w:rPr>
      </w:pPr>
    </w:p>
    <w:p w:rsidR="003372B1" w:rsidRPr="002F2802" w:rsidRDefault="003372B1" w:rsidP="003372B1">
      <w:pPr>
        <w:jc w:val="both"/>
        <w:rPr>
          <w:rFonts w:cs="Mangal"/>
          <w:sz w:val="16"/>
          <w:szCs w:val="16"/>
          <w:cs/>
          <w:lang w:bidi="hi-IN"/>
        </w:rPr>
      </w:pPr>
      <w:r w:rsidRPr="002F2802">
        <w:rPr>
          <w:rFonts w:cs="Mangal" w:hint="cs"/>
          <w:b/>
          <w:bCs/>
          <w:sz w:val="16"/>
          <w:szCs w:val="16"/>
          <w:cs/>
          <w:lang w:bidi="hi-IN"/>
        </w:rPr>
        <w:t>(क) और (ख):</w:t>
      </w:r>
      <w:r w:rsidRPr="002F2802">
        <w:rPr>
          <w:rFonts w:cs="Mangal" w:hint="cs"/>
          <w:sz w:val="16"/>
          <w:szCs w:val="16"/>
          <w:cs/>
          <w:lang w:bidi="hi-IN"/>
        </w:rPr>
        <w:t xml:space="preserve"> थोक मूल्‍य सूचकांक (डब्‍ल्‍यूपीआई) के संदर्भ में वर्षानुवर्ष हेडलाइन मुद्रास्‍फीति पिछले छह महीनों (अप्रैल-सितम्‍बर, 2011) के 9.61 प्रतिशत के औसत मुद्रास्‍फीति की तुलना में अक्‍तूबर, 2011 में 9.73 प्रतिशत थी। अप्रैल, 2011 से अक्‍तूबर, 2011 तक की माह-वार हेडलाइन डब्‍ल्‍यूपीआई मुद्रास्‍फीति की दरें नीचे सारणी में दी गई हैं:-</w:t>
      </w:r>
      <w:r w:rsidRPr="002F2802">
        <w:rPr>
          <w:rFonts w:cs="Mangal" w:hint="cs"/>
          <w:sz w:val="16"/>
          <w:szCs w:val="16"/>
          <w:cs/>
          <w:lang w:bidi="hi-IN"/>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17"/>
      </w:tblGrid>
      <w:tr w:rsidR="003372B1" w:rsidRPr="00D070B2" w:rsidTr="00016774">
        <w:tc>
          <w:tcPr>
            <w:tcW w:w="1316"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अप्रैल, 11</w:t>
            </w:r>
          </w:p>
        </w:tc>
        <w:tc>
          <w:tcPr>
            <w:tcW w:w="1316"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मई- 11</w:t>
            </w:r>
          </w:p>
        </w:tc>
        <w:tc>
          <w:tcPr>
            <w:tcW w:w="1316"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जून -11</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 xml:space="preserve">जुलाई-11 </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अगस्‍त-11</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सितम्‍बर 11</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अक्‍तूबर 11</w:t>
            </w:r>
          </w:p>
        </w:tc>
      </w:tr>
      <w:tr w:rsidR="003372B1" w:rsidRPr="00D070B2" w:rsidTr="00016774">
        <w:tc>
          <w:tcPr>
            <w:tcW w:w="1316"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9.74</w:t>
            </w:r>
          </w:p>
        </w:tc>
        <w:tc>
          <w:tcPr>
            <w:tcW w:w="1316"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9.56</w:t>
            </w:r>
          </w:p>
        </w:tc>
        <w:tc>
          <w:tcPr>
            <w:tcW w:w="1316"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9.51</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9.36</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9.78</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9.72</w:t>
            </w:r>
          </w:p>
        </w:tc>
        <w:tc>
          <w:tcPr>
            <w:tcW w:w="1317" w:type="dxa"/>
            <w:shd w:val="clear" w:color="auto" w:fill="auto"/>
          </w:tcPr>
          <w:p w:rsidR="003372B1" w:rsidRPr="00D070B2" w:rsidRDefault="003372B1" w:rsidP="00016774">
            <w:pPr>
              <w:jc w:val="both"/>
              <w:rPr>
                <w:rFonts w:cs="Mangal"/>
                <w:sz w:val="16"/>
                <w:szCs w:val="16"/>
                <w:lang w:bidi="hi-IN"/>
              </w:rPr>
            </w:pPr>
            <w:r w:rsidRPr="00D070B2">
              <w:rPr>
                <w:rFonts w:cs="Mangal" w:hint="cs"/>
                <w:sz w:val="16"/>
                <w:szCs w:val="16"/>
                <w:cs/>
                <w:lang w:bidi="hi-IN"/>
              </w:rPr>
              <w:t>9.73</w:t>
            </w:r>
          </w:p>
        </w:tc>
      </w:tr>
    </w:tbl>
    <w:p w:rsidR="003372B1" w:rsidRPr="002F2802" w:rsidRDefault="003372B1" w:rsidP="003372B1">
      <w:pPr>
        <w:jc w:val="both"/>
        <w:rPr>
          <w:rFonts w:cs="Mangal"/>
          <w:sz w:val="16"/>
          <w:szCs w:val="16"/>
          <w:lang w:bidi="hi-IN"/>
        </w:rPr>
      </w:pPr>
      <w:r w:rsidRPr="002F2802">
        <w:rPr>
          <w:rFonts w:cs="Mangal" w:hint="cs"/>
          <w:sz w:val="16"/>
          <w:szCs w:val="16"/>
          <w:cs/>
          <w:lang w:bidi="hi-IN"/>
        </w:rPr>
        <w:t xml:space="preserve"> </w:t>
      </w:r>
    </w:p>
    <w:p w:rsidR="003372B1" w:rsidRPr="002F2802" w:rsidRDefault="003372B1" w:rsidP="003372B1">
      <w:pPr>
        <w:rPr>
          <w:rFonts w:cs="Mangal"/>
          <w:sz w:val="16"/>
          <w:szCs w:val="16"/>
          <w:lang w:bidi="hi-IN"/>
        </w:rPr>
      </w:pPr>
    </w:p>
    <w:p w:rsidR="003372B1" w:rsidRPr="002F2802" w:rsidRDefault="003372B1" w:rsidP="003372B1">
      <w:pPr>
        <w:jc w:val="both"/>
        <w:rPr>
          <w:rFonts w:cs="Mangal"/>
          <w:sz w:val="16"/>
          <w:szCs w:val="16"/>
          <w:lang w:bidi="hi-IN"/>
        </w:rPr>
      </w:pPr>
      <w:r w:rsidRPr="00A433A1">
        <w:rPr>
          <w:rFonts w:cs="Mangal" w:hint="cs"/>
          <w:b/>
          <w:bCs/>
          <w:sz w:val="16"/>
          <w:szCs w:val="16"/>
          <w:cs/>
          <w:lang w:bidi="hi-IN"/>
        </w:rPr>
        <w:t>(ग):</w:t>
      </w:r>
      <w:r w:rsidRPr="002F2802">
        <w:rPr>
          <w:rFonts w:cs="Mangal" w:hint="cs"/>
          <w:sz w:val="16"/>
          <w:szCs w:val="16"/>
          <w:cs/>
          <w:lang w:bidi="hi-IN"/>
        </w:rPr>
        <w:t xml:space="preserve"> आवश्‍यक वस्‍तुओं के मूल्‍यों को नियंत्रित करने के लिए किए गए उपायों में ये शामिल हैं: चावल, दालों, खाद्य तेलों (कच्‍चा)</w:t>
      </w:r>
      <w:r>
        <w:rPr>
          <w:rFonts w:cs="Mangal" w:hint="cs"/>
          <w:sz w:val="16"/>
          <w:szCs w:val="16"/>
          <w:cs/>
          <w:lang w:bidi="hi-IN"/>
        </w:rPr>
        <w:t xml:space="preserve"> पर</w:t>
      </w:r>
      <w:r w:rsidRPr="002F2802">
        <w:rPr>
          <w:rFonts w:cs="Mangal" w:hint="cs"/>
          <w:sz w:val="16"/>
          <w:szCs w:val="16"/>
          <w:cs/>
          <w:lang w:bidi="hi-IN"/>
        </w:rPr>
        <w:t xml:space="preserve"> आयात शुल्‍क शून्‍य कर दिया गया, खाद्य तेलों (नारियल के तेल और वन आधारित तेल को छोड़कर) और दालों (प्रति वर्ष अधिकतम 10,000 टन की मात्रा तक काबुली चना और जैव दालों को छोड़कर) के निर्यात पर प्रतिबंध, वायदा बाजार आयोग द्वारा चावल, उड़द तथा तूर के वायदा कारोबार को आस्‍थगित किया गया, दालों, धान और चावल के मामले में स्‍टॉक सीमा संबंधी आदेशों को बढ़ाकर 30 सितम्‍बर, 2011 तक किया गया, वित्‍त वर्ष में कुल 10,000 मीट्रिक टन तक आयात करने के लिए टैरिफ रेट कोटा (टीआरक्‍यू) के तहत स्‍किम्‍ड मिल्‍क पाउडर (एसएमपी) का शुल्‍क 15 प्रतिशत से घटाकर 5 प्रतिशत किया गया, टीआरक्‍यू के तहत 2010-11 के दौरान राष्‍ट्रीय डेयरी विकास बोर्ड (एनडीडीबी) को शून्‍य शुल्‍क पर 30,000 टन दूध पाउडर और 15,000 टन दुग्‍ध वसा के आयात की अनुमति दी गई, कच्‍चे तेल पर सीमा शुल्‍क तथा पेट्रोल और डीजल पर आयात शुल्‍क में कटौती की गई।</w:t>
      </w:r>
    </w:p>
    <w:p w:rsidR="003372B1" w:rsidRPr="002F2802" w:rsidRDefault="003372B1" w:rsidP="003372B1">
      <w:pPr>
        <w:rPr>
          <w:rFonts w:cs="Mangal"/>
          <w:sz w:val="16"/>
          <w:szCs w:val="16"/>
          <w:lang w:bidi="hi-IN"/>
        </w:rPr>
      </w:pPr>
    </w:p>
    <w:p w:rsidR="003372B1" w:rsidRDefault="003372B1" w:rsidP="003372B1">
      <w:pPr>
        <w:jc w:val="both"/>
        <w:rPr>
          <w:rFonts w:cs="Mangal"/>
          <w:sz w:val="16"/>
          <w:szCs w:val="16"/>
          <w:lang w:bidi="hi-IN"/>
        </w:rPr>
      </w:pPr>
      <w:r w:rsidRPr="002F2802">
        <w:rPr>
          <w:rFonts w:cs="Mangal" w:hint="cs"/>
          <w:sz w:val="16"/>
          <w:szCs w:val="16"/>
          <w:cs/>
          <w:lang w:bidi="hi-IN"/>
        </w:rPr>
        <w:t>मौद्रिक नीति की समीक्षा के कार्य के अंतर्गत</w:t>
      </w:r>
      <w:r>
        <w:rPr>
          <w:rFonts w:cs="Mangal" w:hint="cs"/>
          <w:sz w:val="16"/>
          <w:szCs w:val="16"/>
          <w:cs/>
          <w:lang w:bidi="hi-IN"/>
        </w:rPr>
        <w:t xml:space="preserve"> भारतीय</w:t>
      </w:r>
      <w:r w:rsidRPr="002F2802">
        <w:rPr>
          <w:rFonts w:cs="Mangal" w:hint="cs"/>
          <w:sz w:val="16"/>
          <w:szCs w:val="16"/>
          <w:cs/>
          <w:lang w:bidi="hi-IN"/>
        </w:rPr>
        <w:t xml:space="preserve"> रिजर्व बैंक ने अर्थव्‍यवस्‍था की क्षमता के अनुरूप मांग के स्‍तर को संतुलित करने के लिए पॉलिसी दरों में लगातार 13 बार वृद्धि करने के साथ-साथ संबंधित उपाय करने हेतु उचित कदम उठाए हैं ताकि कीमतें ब</w:t>
      </w:r>
      <w:r>
        <w:rPr>
          <w:rFonts w:cs="Mangal" w:hint="cs"/>
          <w:sz w:val="16"/>
          <w:szCs w:val="16"/>
          <w:cs/>
          <w:lang w:bidi="hi-IN"/>
        </w:rPr>
        <w:t>ढ़</w:t>
      </w:r>
      <w:r w:rsidRPr="002F2802">
        <w:rPr>
          <w:rFonts w:cs="Mangal" w:hint="cs"/>
          <w:sz w:val="16"/>
          <w:szCs w:val="16"/>
          <w:cs/>
          <w:lang w:bidi="hi-IN"/>
        </w:rPr>
        <w:t xml:space="preserve">ने दिए बिना अर्थव्‍यवस्‍था के विकास की रफ्तार बनाए रखी जा सके। भारतीय रिजर्व बैंक की 25 अक्‍तूबर, 2011 की हाल ही की घोषणा के अनुसार, रेपो दर और रिवर्स रेपो दर को संशोधित करके क्रमश: 8.5 प्रतिशत और 7.5 प्रतिशत कर दिया गया है। </w:t>
      </w:r>
    </w:p>
    <w:p w:rsidR="003372B1" w:rsidRDefault="003372B1" w:rsidP="003372B1">
      <w:pPr>
        <w:jc w:val="both"/>
        <w:rPr>
          <w:rFonts w:cs="Mangal"/>
          <w:sz w:val="16"/>
          <w:szCs w:val="16"/>
          <w:lang w:bidi="hi-IN"/>
        </w:rPr>
      </w:pPr>
    </w:p>
    <w:p w:rsidR="003372B1" w:rsidRPr="002F2802" w:rsidRDefault="003372B1" w:rsidP="003372B1">
      <w:pPr>
        <w:ind w:firstLine="720"/>
        <w:jc w:val="both"/>
        <w:rPr>
          <w:rFonts w:cs="Mangal"/>
          <w:sz w:val="16"/>
          <w:szCs w:val="16"/>
          <w:lang w:bidi="hi-IN"/>
        </w:rPr>
      </w:pPr>
      <w:r w:rsidRPr="002F2802">
        <w:rPr>
          <w:rFonts w:cs="Mangal" w:hint="cs"/>
          <w:sz w:val="16"/>
          <w:szCs w:val="16"/>
          <w:cs/>
          <w:lang w:bidi="hi-IN"/>
        </w:rPr>
        <w:t>नीतिगत कार्रवाई के परिणामस्‍वरूप, हम मुख्‍यत: हेडलाइन डब्‍ल्‍यूपीआई मुद्रास्‍फीति पर काबू पाने और उसकी संभावनाएं कम करके दोहरे अंक के स्‍तर से नीचे रखने में सफल रहे हैं, हालांकि सरकार की निश्‍चित मंशा यह है कि इसे शीघ्र कम करके अधिक संतोषजनक स्‍तर पर लाया जा सके।</w:t>
      </w:r>
    </w:p>
    <w:p w:rsidR="003372B1" w:rsidRPr="002F2802" w:rsidRDefault="003372B1" w:rsidP="003372B1">
      <w:pPr>
        <w:jc w:val="center"/>
        <w:rPr>
          <w:rFonts w:cs="Mangal"/>
          <w:b/>
          <w:bCs/>
          <w:sz w:val="16"/>
          <w:szCs w:val="16"/>
          <w:cs/>
          <w:lang w:bidi="hi-IN"/>
        </w:rPr>
      </w:pPr>
      <w:r w:rsidRPr="002F2802">
        <w:rPr>
          <w:rFonts w:cs="Mangal"/>
          <w:b/>
          <w:bCs/>
          <w:sz w:val="16"/>
          <w:szCs w:val="16"/>
          <w:lang w:bidi="hi-IN"/>
        </w:rPr>
        <w:t>*****</w:t>
      </w:r>
    </w:p>
    <w:p w:rsidR="00CC04C6" w:rsidRDefault="00CC04C6"/>
    <w:sectPr w:rsidR="00CC04C6" w:rsidSect="007A7E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B1"/>
    <w:rsid w:val="003372B1"/>
    <w:rsid w:val="007A7E17"/>
    <w:rsid w:val="007D4EC1"/>
    <w:rsid w:val="00C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Company>Hewlett-Packard Company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5</cp:revision>
  <dcterms:created xsi:type="dcterms:W3CDTF">2011-12-01T10:29:00Z</dcterms:created>
  <dcterms:modified xsi:type="dcterms:W3CDTF">2011-12-02T09:40:00Z</dcterms:modified>
</cp:coreProperties>
</file>