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14" w:rsidRPr="00335114" w:rsidRDefault="00335114" w:rsidP="00335114">
      <w:pPr>
        <w:jc w:val="center"/>
        <w:rPr>
          <w:rFonts w:ascii="Times New Roman" w:hAnsi="Times New Roman" w:cs="Times New Roman"/>
          <w:sz w:val="24"/>
          <w:szCs w:val="24"/>
        </w:rPr>
      </w:pPr>
      <w:r w:rsidRPr="00335114">
        <w:rPr>
          <w:rFonts w:ascii="Times New Roman" w:hAnsi="Times New Roman" w:cs="Times New Roman"/>
          <w:sz w:val="24"/>
          <w:szCs w:val="24"/>
        </w:rPr>
        <w:t>GOVERNMENT OF INDIA</w:t>
      </w:r>
      <w:r w:rsidRPr="00335114">
        <w:rPr>
          <w:rFonts w:ascii="Times New Roman" w:hAnsi="Times New Roman" w:cs="Times New Roman"/>
          <w:sz w:val="24"/>
          <w:szCs w:val="24"/>
        </w:rPr>
        <w:br/>
        <w:t>MINISTRY OF CHEMICALS AND FERTILIZERS</w:t>
      </w:r>
      <w:r w:rsidRPr="00335114">
        <w:rPr>
          <w:rFonts w:ascii="Times New Roman" w:hAnsi="Times New Roman" w:cs="Times New Roman"/>
          <w:sz w:val="24"/>
          <w:szCs w:val="24"/>
        </w:rPr>
        <w:br/>
        <w:t>DEPARTMENT OF CHEMICALS AND PETROCHEMICALS</w:t>
      </w:r>
    </w:p>
    <w:p w:rsidR="00335114" w:rsidRPr="00335114" w:rsidRDefault="00335114" w:rsidP="00335114">
      <w:pPr>
        <w:jc w:val="center"/>
        <w:rPr>
          <w:rFonts w:ascii="Times New Roman" w:hAnsi="Times New Roman" w:cs="Times New Roman"/>
          <w:sz w:val="24"/>
          <w:szCs w:val="24"/>
        </w:rPr>
      </w:pPr>
      <w:r w:rsidRPr="00335114">
        <w:rPr>
          <w:rFonts w:ascii="Times New Roman" w:hAnsi="Times New Roman" w:cs="Times New Roman"/>
          <w:b/>
          <w:bCs/>
          <w:sz w:val="24"/>
          <w:szCs w:val="24"/>
        </w:rPr>
        <w:t>RAJYA SABHA</w:t>
      </w:r>
      <w:r w:rsidRPr="00335114">
        <w:rPr>
          <w:rFonts w:ascii="Times New Roman" w:hAnsi="Times New Roman" w:cs="Times New Roman"/>
          <w:sz w:val="24"/>
          <w:szCs w:val="24"/>
        </w:rPr>
        <w:br/>
      </w:r>
      <w:r w:rsidRPr="00335114">
        <w:rPr>
          <w:rFonts w:ascii="Times New Roman" w:hAnsi="Times New Roman" w:cs="Times New Roman"/>
          <w:b/>
          <w:bCs/>
          <w:sz w:val="24"/>
          <w:szCs w:val="24"/>
        </w:rPr>
        <w:t>UNSTARRED QUESTION No-2894</w:t>
      </w:r>
    </w:p>
    <w:p w:rsidR="00335114" w:rsidRPr="00335114" w:rsidRDefault="00335114" w:rsidP="00335114">
      <w:pPr>
        <w:jc w:val="center"/>
        <w:rPr>
          <w:rFonts w:ascii="Times New Roman" w:hAnsi="Times New Roman" w:cs="Times New Roman"/>
          <w:sz w:val="24"/>
          <w:szCs w:val="24"/>
        </w:rPr>
      </w:pPr>
      <w:r w:rsidRPr="00335114">
        <w:rPr>
          <w:rFonts w:ascii="Times New Roman" w:hAnsi="Times New Roman" w:cs="Times New Roman"/>
          <w:sz w:val="24"/>
          <w:szCs w:val="24"/>
        </w:rPr>
        <w:t>ANSWERED ON-19/08/2025</w:t>
      </w:r>
    </w:p>
    <w:p w:rsidR="00335114" w:rsidRPr="00335114" w:rsidRDefault="00335114" w:rsidP="00335114">
      <w:pPr>
        <w:jc w:val="center"/>
        <w:rPr>
          <w:rFonts w:ascii="Times New Roman" w:hAnsi="Times New Roman" w:cs="Times New Roman"/>
          <w:sz w:val="24"/>
          <w:szCs w:val="24"/>
        </w:rPr>
      </w:pPr>
    </w:p>
    <w:p w:rsidR="00335114" w:rsidRPr="00335114" w:rsidRDefault="00335114" w:rsidP="00335114">
      <w:pPr>
        <w:rPr>
          <w:rFonts w:ascii="Times New Roman" w:hAnsi="Times New Roman" w:cs="Times New Roman"/>
          <w:caps/>
          <w:sz w:val="24"/>
          <w:szCs w:val="24"/>
        </w:rPr>
      </w:pPr>
    </w:p>
    <w:p w:rsidR="00335114" w:rsidRPr="00335114" w:rsidRDefault="000D6D58" w:rsidP="00335114">
      <w:pPr>
        <w:rPr>
          <w:rFonts w:ascii="Times New Roman" w:hAnsi="Times New Roman" w:cs="Times New Roman"/>
          <w:b/>
          <w:bCs/>
          <w:sz w:val="24"/>
          <w:szCs w:val="24"/>
        </w:rPr>
      </w:pPr>
      <w:r w:rsidRPr="00335114">
        <w:rPr>
          <w:rFonts w:ascii="Times New Roman" w:hAnsi="Times New Roman" w:cs="Times New Roman"/>
          <w:b/>
          <w:bCs/>
          <w:caps/>
          <w:sz w:val="24"/>
          <w:szCs w:val="24"/>
        </w:rPr>
        <w:t>Environmental impacts due to establishment of industrial parks in the country</w:t>
      </w:r>
    </w:p>
    <w:p w:rsidR="0017757D" w:rsidRPr="00335114" w:rsidRDefault="000D6D58" w:rsidP="00335114">
      <w:pPr>
        <w:pStyle w:val="Heading1"/>
        <w:spacing w:before="251" w:line="484" w:lineRule="auto"/>
        <w:ind w:left="0" w:right="317"/>
        <w:rPr>
          <w:rFonts w:ascii="Times New Roman" w:hAnsi="Times New Roman" w:cs="Times New Roman"/>
          <w:b w:val="0"/>
          <w:bCs/>
          <w:caps/>
          <w:sz w:val="24"/>
          <w:szCs w:val="24"/>
        </w:rPr>
      </w:pPr>
      <w:r w:rsidRPr="00335114">
        <w:rPr>
          <w:rFonts w:ascii="Times New Roman" w:hAnsi="Times New Roman" w:cs="Times New Roman"/>
          <w:sz w:val="24"/>
          <w:szCs w:val="24"/>
        </w:rPr>
        <w:t xml:space="preserve"> </w:t>
      </w:r>
      <w:r w:rsidRPr="00335114">
        <w:rPr>
          <w:rFonts w:ascii="Times New Roman" w:hAnsi="Times New Roman" w:cs="Times New Roman"/>
          <w:b w:val="0"/>
          <w:bCs/>
          <w:caps/>
          <w:sz w:val="24"/>
          <w:szCs w:val="24"/>
        </w:rPr>
        <w:t>2894 # Shri Neeraj Dangi:</w:t>
      </w:r>
    </w:p>
    <w:p w:rsidR="0017757D" w:rsidRPr="00335114" w:rsidRDefault="000D6D58">
      <w:pPr>
        <w:spacing w:line="251" w:lineRule="auto"/>
        <w:ind w:left="113"/>
        <w:rPr>
          <w:rFonts w:ascii="Times New Roman" w:eastAsia="Arial" w:hAnsi="Times New Roman" w:cs="Times New Roman"/>
          <w:bCs/>
          <w:sz w:val="24"/>
          <w:szCs w:val="24"/>
        </w:rPr>
      </w:pPr>
      <w:r w:rsidRPr="00335114">
        <w:rPr>
          <w:rFonts w:ascii="Times New Roman" w:eastAsia="Arial" w:hAnsi="Times New Roman" w:cs="Times New Roman"/>
          <w:bCs/>
          <w:sz w:val="24"/>
          <w:szCs w:val="24"/>
        </w:rPr>
        <w:t xml:space="preserve">Will the Minister of </w:t>
      </w:r>
      <w:r w:rsidRPr="00335114">
        <w:rPr>
          <w:rFonts w:ascii="Times New Roman" w:eastAsia="Arial" w:hAnsi="Times New Roman" w:cs="Times New Roman"/>
          <w:bCs/>
          <w:caps/>
          <w:sz w:val="24"/>
          <w:szCs w:val="24"/>
        </w:rPr>
        <w:t>Chemicals and Fertilizers</w:t>
      </w:r>
      <w:r w:rsidRPr="00335114">
        <w:rPr>
          <w:rFonts w:ascii="Times New Roman" w:eastAsia="Arial" w:hAnsi="Times New Roman" w:cs="Times New Roman"/>
          <w:bCs/>
          <w:sz w:val="24"/>
          <w:szCs w:val="24"/>
        </w:rPr>
        <w:t xml:space="preserve"> be pleased to </w:t>
      </w:r>
      <w:proofErr w:type="gramStart"/>
      <w:r w:rsidRPr="00335114">
        <w:rPr>
          <w:rFonts w:ascii="Times New Roman" w:eastAsia="Arial" w:hAnsi="Times New Roman" w:cs="Times New Roman"/>
          <w:bCs/>
          <w:sz w:val="24"/>
          <w:szCs w:val="24"/>
        </w:rPr>
        <w:t>state:</w:t>
      </w:r>
      <w:proofErr w:type="gramEnd"/>
    </w:p>
    <w:p w:rsidR="0017757D" w:rsidRPr="00335114" w:rsidRDefault="0017757D">
      <w:pPr>
        <w:pBdr>
          <w:top w:val="nil"/>
          <w:left w:val="nil"/>
          <w:bottom w:val="nil"/>
          <w:right w:val="nil"/>
          <w:between w:val="nil"/>
        </w:pBdr>
        <w:spacing w:before="8"/>
        <w:rPr>
          <w:rFonts w:ascii="Times New Roman" w:eastAsia="Arial" w:hAnsi="Times New Roman" w:cs="Times New Roman"/>
          <w:b/>
          <w:color w:val="000000"/>
          <w:sz w:val="24"/>
          <w:szCs w:val="24"/>
        </w:rPr>
      </w:pPr>
    </w:p>
    <w:p w:rsidR="0017757D" w:rsidRPr="00335114" w:rsidRDefault="000D6D58">
      <w:pPr>
        <w:numPr>
          <w:ilvl w:val="0"/>
          <w:numId w:val="1"/>
        </w:numPr>
        <w:pBdr>
          <w:top w:val="nil"/>
          <w:left w:val="nil"/>
          <w:bottom w:val="nil"/>
          <w:right w:val="nil"/>
          <w:between w:val="nil"/>
        </w:pBdr>
        <w:tabs>
          <w:tab w:val="left" w:pos="447"/>
        </w:tabs>
        <w:ind w:left="447" w:hanging="334"/>
        <w:jc w:val="both"/>
        <w:rPr>
          <w:rFonts w:ascii="Times New Roman" w:hAnsi="Times New Roman" w:cs="Times New Roman"/>
          <w:color w:val="000000"/>
          <w:sz w:val="24"/>
          <w:szCs w:val="24"/>
        </w:rPr>
      </w:pPr>
      <w:proofErr w:type="gramStart"/>
      <w:r w:rsidRPr="00335114">
        <w:rPr>
          <w:rFonts w:ascii="Times New Roman" w:hAnsi="Times New Roman" w:cs="Times New Roman"/>
          <w:color w:val="000000"/>
          <w:sz w:val="24"/>
          <w:szCs w:val="24"/>
        </w:rPr>
        <w:t>the</w:t>
      </w:r>
      <w:proofErr w:type="gramEnd"/>
      <w:r w:rsidRPr="00335114">
        <w:rPr>
          <w:rFonts w:ascii="Times New Roman" w:hAnsi="Times New Roman" w:cs="Times New Roman"/>
          <w:color w:val="000000"/>
          <w:sz w:val="24"/>
          <w:szCs w:val="24"/>
        </w:rPr>
        <w:t xml:space="preserve"> number of chemical indu</w:t>
      </w:r>
      <w:bookmarkStart w:id="0" w:name="_GoBack"/>
      <w:bookmarkEnd w:id="0"/>
      <w:r w:rsidRPr="00335114">
        <w:rPr>
          <w:rFonts w:ascii="Times New Roman" w:hAnsi="Times New Roman" w:cs="Times New Roman"/>
          <w:color w:val="000000"/>
          <w:sz w:val="24"/>
          <w:szCs w:val="24"/>
        </w:rPr>
        <w:t>strial parks set up so far in the country, State-wise ;</w:t>
      </w:r>
    </w:p>
    <w:p w:rsidR="0017757D" w:rsidRPr="00335114" w:rsidRDefault="000D6D58">
      <w:pPr>
        <w:numPr>
          <w:ilvl w:val="0"/>
          <w:numId w:val="1"/>
        </w:numPr>
        <w:pBdr>
          <w:top w:val="nil"/>
          <w:left w:val="nil"/>
          <w:bottom w:val="nil"/>
          <w:right w:val="nil"/>
          <w:between w:val="nil"/>
        </w:pBdr>
        <w:tabs>
          <w:tab w:val="left" w:pos="474"/>
        </w:tabs>
        <w:spacing w:before="156" w:line="244" w:lineRule="auto"/>
        <w:ind w:left="113" w:right="114" w:firstLine="0"/>
        <w:jc w:val="both"/>
        <w:rPr>
          <w:rFonts w:ascii="Times New Roman" w:hAnsi="Times New Roman" w:cs="Times New Roman"/>
          <w:color w:val="000000"/>
          <w:sz w:val="24"/>
          <w:szCs w:val="24"/>
        </w:rPr>
      </w:pPr>
      <w:proofErr w:type="gramStart"/>
      <w:r w:rsidRPr="00335114">
        <w:rPr>
          <w:rFonts w:ascii="Times New Roman" w:hAnsi="Times New Roman" w:cs="Times New Roman"/>
          <w:color w:val="000000"/>
          <w:sz w:val="24"/>
          <w:szCs w:val="24"/>
        </w:rPr>
        <w:t>whether</w:t>
      </w:r>
      <w:proofErr w:type="gramEnd"/>
      <w:r w:rsidRPr="00335114">
        <w:rPr>
          <w:rFonts w:ascii="Times New Roman" w:hAnsi="Times New Roman" w:cs="Times New Roman"/>
          <w:color w:val="000000"/>
          <w:sz w:val="24"/>
          <w:szCs w:val="24"/>
        </w:rPr>
        <w:t xml:space="preserve"> Environmental Impact Assessment (EIA) reports have been followed while setting up these industrial parks;</w:t>
      </w:r>
    </w:p>
    <w:p w:rsidR="0017757D" w:rsidRPr="00335114" w:rsidRDefault="000D6D58">
      <w:pPr>
        <w:numPr>
          <w:ilvl w:val="0"/>
          <w:numId w:val="1"/>
        </w:numPr>
        <w:pBdr>
          <w:top w:val="nil"/>
          <w:left w:val="nil"/>
          <w:bottom w:val="nil"/>
          <w:right w:val="nil"/>
          <w:between w:val="nil"/>
        </w:pBdr>
        <w:tabs>
          <w:tab w:val="left" w:pos="457"/>
        </w:tabs>
        <w:spacing w:before="152" w:line="244" w:lineRule="auto"/>
        <w:ind w:left="113" w:right="113" w:firstLine="0"/>
        <w:jc w:val="both"/>
        <w:rPr>
          <w:rFonts w:ascii="Times New Roman" w:hAnsi="Times New Roman" w:cs="Times New Roman"/>
          <w:color w:val="000000"/>
          <w:sz w:val="24"/>
          <w:szCs w:val="24"/>
        </w:rPr>
      </w:pPr>
      <w:proofErr w:type="gramStart"/>
      <w:r w:rsidRPr="00335114">
        <w:rPr>
          <w:rFonts w:ascii="Times New Roman" w:hAnsi="Times New Roman" w:cs="Times New Roman"/>
          <w:color w:val="000000"/>
          <w:sz w:val="24"/>
          <w:szCs w:val="24"/>
        </w:rPr>
        <w:t>whether</w:t>
      </w:r>
      <w:proofErr w:type="gramEnd"/>
      <w:r w:rsidRPr="00335114">
        <w:rPr>
          <w:rFonts w:ascii="Times New Roman" w:hAnsi="Times New Roman" w:cs="Times New Roman"/>
          <w:color w:val="000000"/>
          <w:sz w:val="24"/>
          <w:szCs w:val="24"/>
        </w:rPr>
        <w:t xml:space="preserve"> complaints related to air, water or soil pollution in nearby areas have been received due to establishment of new chemical industrial parks and emerging manufacturing corridors;</w:t>
      </w:r>
    </w:p>
    <w:p w:rsidR="0017757D" w:rsidRPr="00335114" w:rsidRDefault="000D6D58">
      <w:pPr>
        <w:numPr>
          <w:ilvl w:val="0"/>
          <w:numId w:val="1"/>
        </w:numPr>
        <w:pBdr>
          <w:top w:val="nil"/>
          <w:left w:val="nil"/>
          <w:bottom w:val="nil"/>
          <w:right w:val="nil"/>
          <w:between w:val="nil"/>
        </w:pBdr>
        <w:tabs>
          <w:tab w:val="left" w:pos="447"/>
        </w:tabs>
        <w:spacing w:before="153"/>
        <w:ind w:left="447" w:hanging="334"/>
        <w:jc w:val="both"/>
        <w:rPr>
          <w:rFonts w:ascii="Times New Roman" w:hAnsi="Times New Roman" w:cs="Times New Roman"/>
          <w:color w:val="000000"/>
          <w:sz w:val="24"/>
          <w:szCs w:val="24"/>
        </w:rPr>
      </w:pPr>
      <w:proofErr w:type="gramStart"/>
      <w:r w:rsidRPr="00335114">
        <w:rPr>
          <w:rFonts w:ascii="Times New Roman" w:hAnsi="Times New Roman" w:cs="Times New Roman"/>
          <w:color w:val="000000"/>
          <w:sz w:val="24"/>
          <w:szCs w:val="24"/>
        </w:rPr>
        <w:t>if</w:t>
      </w:r>
      <w:proofErr w:type="gramEnd"/>
      <w:r w:rsidRPr="00335114">
        <w:rPr>
          <w:rFonts w:ascii="Times New Roman" w:hAnsi="Times New Roman" w:cs="Times New Roman"/>
          <w:color w:val="000000"/>
          <w:sz w:val="24"/>
          <w:szCs w:val="24"/>
        </w:rPr>
        <w:t xml:space="preserve"> so, the steps taken by Government to prevent such pollution related incidents; and</w:t>
      </w:r>
    </w:p>
    <w:p w:rsidR="0017757D" w:rsidRDefault="000D6D58">
      <w:pPr>
        <w:numPr>
          <w:ilvl w:val="0"/>
          <w:numId w:val="1"/>
        </w:numPr>
        <w:pBdr>
          <w:top w:val="nil"/>
          <w:left w:val="nil"/>
          <w:bottom w:val="nil"/>
          <w:right w:val="nil"/>
          <w:between w:val="nil"/>
        </w:pBdr>
        <w:tabs>
          <w:tab w:val="left" w:pos="465"/>
        </w:tabs>
        <w:spacing w:before="156" w:line="244" w:lineRule="auto"/>
        <w:ind w:left="113" w:right="123" w:firstLine="0"/>
        <w:jc w:val="both"/>
        <w:rPr>
          <w:rFonts w:ascii="Times New Roman" w:hAnsi="Times New Roman" w:cs="Times New Roman"/>
          <w:color w:val="000000"/>
          <w:sz w:val="24"/>
          <w:szCs w:val="24"/>
        </w:rPr>
      </w:pPr>
      <w:proofErr w:type="gramStart"/>
      <w:r w:rsidRPr="00335114">
        <w:rPr>
          <w:rFonts w:ascii="Times New Roman" w:hAnsi="Times New Roman" w:cs="Times New Roman"/>
          <w:color w:val="000000"/>
          <w:sz w:val="24"/>
          <w:szCs w:val="24"/>
        </w:rPr>
        <w:t>whether</w:t>
      </w:r>
      <w:proofErr w:type="gramEnd"/>
      <w:r w:rsidRPr="00335114">
        <w:rPr>
          <w:rFonts w:ascii="Times New Roman" w:hAnsi="Times New Roman" w:cs="Times New Roman"/>
          <w:color w:val="000000"/>
          <w:sz w:val="24"/>
          <w:szCs w:val="24"/>
        </w:rPr>
        <w:t xml:space="preserve"> there are plans to set up more such industrial parks in the future and if so, the details thereof?</w:t>
      </w:r>
    </w:p>
    <w:p w:rsidR="000D6D58" w:rsidRDefault="000D6D58" w:rsidP="000D6D58">
      <w:pPr>
        <w:pBdr>
          <w:top w:val="nil"/>
          <w:left w:val="nil"/>
          <w:bottom w:val="nil"/>
          <w:right w:val="nil"/>
          <w:between w:val="nil"/>
        </w:pBdr>
        <w:tabs>
          <w:tab w:val="left" w:pos="465"/>
        </w:tabs>
        <w:spacing w:before="156" w:line="244" w:lineRule="auto"/>
        <w:ind w:right="123"/>
        <w:jc w:val="both"/>
        <w:rPr>
          <w:rFonts w:ascii="Times New Roman" w:hAnsi="Times New Roman" w:cs="Times New Roman"/>
          <w:color w:val="000000"/>
          <w:sz w:val="24"/>
          <w:szCs w:val="24"/>
        </w:rPr>
      </w:pPr>
    </w:p>
    <w:p w:rsidR="000D6D58" w:rsidRDefault="000D6D58" w:rsidP="000D6D58">
      <w:pPr>
        <w:pBdr>
          <w:top w:val="nil"/>
          <w:left w:val="nil"/>
          <w:bottom w:val="nil"/>
          <w:right w:val="nil"/>
          <w:between w:val="nil"/>
        </w:pBdr>
        <w:tabs>
          <w:tab w:val="left" w:pos="465"/>
        </w:tabs>
        <w:spacing w:before="156" w:line="244" w:lineRule="auto"/>
        <w:ind w:right="123"/>
        <w:jc w:val="both"/>
        <w:rPr>
          <w:rFonts w:ascii="Times New Roman" w:hAnsi="Times New Roman" w:cs="Times New Roman"/>
          <w:color w:val="000000"/>
          <w:sz w:val="24"/>
          <w:szCs w:val="24"/>
        </w:rPr>
      </w:pPr>
    </w:p>
    <w:p w:rsidR="000D6D58" w:rsidRPr="00335114" w:rsidRDefault="000D6D58" w:rsidP="000D6D58">
      <w:pPr>
        <w:pBdr>
          <w:top w:val="nil"/>
          <w:left w:val="nil"/>
          <w:bottom w:val="nil"/>
          <w:right w:val="nil"/>
          <w:between w:val="nil"/>
        </w:pBdr>
        <w:tabs>
          <w:tab w:val="left" w:pos="465"/>
        </w:tabs>
        <w:spacing w:before="156" w:line="244" w:lineRule="auto"/>
        <w:ind w:right="123"/>
        <w:jc w:val="both"/>
        <w:rPr>
          <w:rFonts w:ascii="Times New Roman" w:hAnsi="Times New Roman" w:cs="Times New Roman"/>
          <w:color w:val="000000"/>
          <w:sz w:val="24"/>
          <w:szCs w:val="24"/>
        </w:rPr>
      </w:pPr>
    </w:p>
    <w:p w:rsidR="0017757D" w:rsidRPr="00335114" w:rsidRDefault="000D6D58">
      <w:pPr>
        <w:spacing w:before="148"/>
        <w:ind w:left="1221" w:right="1229"/>
        <w:jc w:val="center"/>
        <w:rPr>
          <w:rFonts w:ascii="Times New Roman" w:eastAsia="Arial" w:hAnsi="Times New Roman" w:cs="Times New Roman"/>
          <w:b/>
          <w:sz w:val="24"/>
          <w:szCs w:val="24"/>
        </w:rPr>
      </w:pPr>
      <w:r w:rsidRPr="00335114">
        <w:rPr>
          <w:rFonts w:ascii="Times New Roman" w:eastAsia="Arial" w:hAnsi="Times New Roman" w:cs="Times New Roman"/>
          <w:b/>
          <w:sz w:val="24"/>
          <w:szCs w:val="24"/>
        </w:rPr>
        <w:t>ANSWER</w:t>
      </w:r>
    </w:p>
    <w:p w:rsidR="0017757D" w:rsidRPr="00335114" w:rsidRDefault="0017757D">
      <w:pPr>
        <w:pBdr>
          <w:top w:val="nil"/>
          <w:left w:val="nil"/>
          <w:bottom w:val="nil"/>
          <w:right w:val="nil"/>
          <w:between w:val="nil"/>
        </w:pBdr>
        <w:spacing w:before="4"/>
        <w:rPr>
          <w:rFonts w:ascii="Times New Roman" w:eastAsia="Arial" w:hAnsi="Times New Roman" w:cs="Times New Roman"/>
          <w:b/>
          <w:color w:val="000000"/>
          <w:sz w:val="24"/>
          <w:szCs w:val="24"/>
        </w:rPr>
      </w:pPr>
    </w:p>
    <w:p w:rsidR="00335114" w:rsidRPr="00335114" w:rsidRDefault="00335114" w:rsidP="00335114">
      <w:pPr>
        <w:spacing w:before="238" w:line="235" w:lineRule="auto"/>
        <w:ind w:left="66" w:right="66"/>
        <w:rPr>
          <w:rFonts w:ascii="Times New Roman" w:hAnsi="Times New Roman" w:cs="Times New Roman"/>
          <w:bCs/>
          <w:spacing w:val="-2"/>
          <w:sz w:val="24"/>
          <w:szCs w:val="24"/>
        </w:rPr>
      </w:pPr>
      <w:r w:rsidRPr="00335114">
        <w:rPr>
          <w:rFonts w:ascii="Times New Roman" w:hAnsi="Times New Roman" w:cs="Times New Roman"/>
          <w:bCs/>
          <w:sz w:val="24"/>
          <w:szCs w:val="24"/>
        </w:rPr>
        <w:t>THE</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MINISTER</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OF</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STATE</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IN</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THE</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MINISTRY</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OF</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CHEMICALS</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z w:val="24"/>
          <w:szCs w:val="24"/>
        </w:rPr>
        <w:t xml:space="preserve">AND </w:t>
      </w:r>
      <w:r w:rsidRPr="00335114">
        <w:rPr>
          <w:rFonts w:ascii="Times New Roman" w:hAnsi="Times New Roman" w:cs="Times New Roman"/>
          <w:bCs/>
          <w:spacing w:val="-2"/>
          <w:sz w:val="24"/>
          <w:szCs w:val="24"/>
        </w:rPr>
        <w:t>FERTILIZERS</w:t>
      </w:r>
    </w:p>
    <w:p w:rsidR="00335114" w:rsidRPr="00335114" w:rsidRDefault="00335114" w:rsidP="00335114">
      <w:pPr>
        <w:spacing w:before="238" w:line="235" w:lineRule="auto"/>
        <w:ind w:left="66" w:right="66"/>
        <w:rPr>
          <w:rFonts w:ascii="Times New Roman" w:hAnsi="Times New Roman" w:cs="Times New Roman"/>
          <w:bCs/>
          <w:sz w:val="24"/>
          <w:szCs w:val="24"/>
        </w:rPr>
      </w:pPr>
    </w:p>
    <w:p w:rsidR="0017757D" w:rsidRPr="00335114" w:rsidRDefault="00335114" w:rsidP="00335114">
      <w:pPr>
        <w:spacing w:line="271" w:lineRule="exact"/>
        <w:ind w:left="63" w:right="1"/>
        <w:rPr>
          <w:rFonts w:ascii="Times New Roman" w:eastAsia="Arial" w:hAnsi="Times New Roman" w:cs="Times New Roman"/>
          <w:b/>
          <w:color w:val="000000"/>
          <w:sz w:val="24"/>
          <w:szCs w:val="24"/>
        </w:rPr>
      </w:pPr>
      <w:r w:rsidRPr="00335114">
        <w:rPr>
          <w:rFonts w:ascii="Times New Roman" w:hAnsi="Times New Roman" w:cs="Times New Roman"/>
          <w:bCs/>
          <w:sz w:val="24"/>
          <w:szCs w:val="24"/>
        </w:rPr>
        <w:t>(SMT.</w:t>
      </w:r>
      <w:r w:rsidRPr="00335114">
        <w:rPr>
          <w:rFonts w:ascii="Times New Roman" w:hAnsi="Times New Roman" w:cs="Times New Roman"/>
          <w:bCs/>
          <w:spacing w:val="-7"/>
          <w:sz w:val="24"/>
          <w:szCs w:val="24"/>
        </w:rPr>
        <w:t xml:space="preserve"> </w:t>
      </w:r>
      <w:r w:rsidRPr="00335114">
        <w:rPr>
          <w:rFonts w:ascii="Times New Roman" w:hAnsi="Times New Roman" w:cs="Times New Roman"/>
          <w:bCs/>
          <w:sz w:val="24"/>
          <w:szCs w:val="24"/>
        </w:rPr>
        <w:t>ANUPRIYA</w:t>
      </w:r>
      <w:r w:rsidRPr="00335114">
        <w:rPr>
          <w:rFonts w:ascii="Times New Roman" w:hAnsi="Times New Roman" w:cs="Times New Roman"/>
          <w:bCs/>
          <w:spacing w:val="-5"/>
          <w:sz w:val="24"/>
          <w:szCs w:val="24"/>
        </w:rPr>
        <w:t xml:space="preserve"> </w:t>
      </w:r>
      <w:r w:rsidRPr="00335114">
        <w:rPr>
          <w:rFonts w:ascii="Times New Roman" w:hAnsi="Times New Roman" w:cs="Times New Roman"/>
          <w:bCs/>
          <w:spacing w:val="-2"/>
          <w:sz w:val="24"/>
          <w:szCs w:val="24"/>
        </w:rPr>
        <w:t>PATEL)</w:t>
      </w:r>
    </w:p>
    <w:p w:rsidR="0017757D" w:rsidRPr="00335114" w:rsidRDefault="0017757D">
      <w:pPr>
        <w:pBdr>
          <w:top w:val="nil"/>
          <w:left w:val="nil"/>
          <w:bottom w:val="nil"/>
          <w:right w:val="nil"/>
          <w:between w:val="nil"/>
        </w:pBdr>
        <w:rPr>
          <w:rFonts w:ascii="Times New Roman" w:eastAsia="Arial" w:hAnsi="Times New Roman" w:cs="Times New Roman"/>
          <w:b/>
          <w:color w:val="000000"/>
          <w:sz w:val="24"/>
          <w:szCs w:val="24"/>
        </w:rPr>
      </w:pPr>
    </w:p>
    <w:p w:rsidR="0017757D" w:rsidRPr="00335114" w:rsidRDefault="0017757D">
      <w:pPr>
        <w:pBdr>
          <w:top w:val="nil"/>
          <w:left w:val="nil"/>
          <w:bottom w:val="nil"/>
          <w:right w:val="nil"/>
          <w:between w:val="nil"/>
        </w:pBdr>
        <w:spacing w:before="56"/>
        <w:rPr>
          <w:rFonts w:ascii="Times New Roman" w:eastAsia="Arial" w:hAnsi="Times New Roman" w:cs="Times New Roman"/>
          <w:b/>
          <w:color w:val="000000"/>
          <w:sz w:val="24"/>
          <w:szCs w:val="24"/>
        </w:rPr>
      </w:pPr>
    </w:p>
    <w:p w:rsidR="005E47D6" w:rsidRPr="005E47D6" w:rsidRDefault="000D6D58" w:rsidP="005E47D6">
      <w:pPr>
        <w:pStyle w:val="NormalWeb"/>
        <w:spacing w:before="0" w:beforeAutospacing="0" w:after="0" w:afterAutospacing="0" w:line="216" w:lineRule="auto"/>
        <w:ind w:right="126"/>
        <w:jc w:val="both"/>
      </w:pPr>
      <w:r w:rsidRPr="00335114">
        <w:rPr>
          <w:rFonts w:eastAsia="Arial"/>
          <w:b/>
        </w:rPr>
        <w:t>(a)</w:t>
      </w:r>
      <w:r w:rsidRPr="00335114">
        <w:rPr>
          <w:rFonts w:eastAsia="Arial"/>
          <w:b/>
          <w:color w:val="000000"/>
        </w:rPr>
        <w:tab/>
      </w:r>
      <w:r w:rsidR="005E47D6" w:rsidRPr="005E47D6">
        <w:rPr>
          <w:color w:val="000000"/>
        </w:rPr>
        <w:t xml:space="preserve">The following two types of Chemical industrial Parks have been set up in the </w:t>
      </w:r>
      <w:r w:rsidR="005E47D6" w:rsidRPr="005E47D6">
        <w:rPr>
          <w:color w:val="000000"/>
        </w:rPr>
        <w:t> </w:t>
      </w:r>
      <w:r w:rsidR="005E47D6" w:rsidRPr="005E47D6">
        <w:rPr>
          <w:color w:val="000000"/>
        </w:rPr>
        <w:t> </w:t>
      </w:r>
      <w:r w:rsidR="005E47D6" w:rsidRPr="005E47D6">
        <w:rPr>
          <w:color w:val="000000"/>
        </w:rPr>
        <w:t> </w:t>
      </w:r>
      <w:r w:rsidR="005E47D6" w:rsidRPr="005E47D6">
        <w:rPr>
          <w:color w:val="000000"/>
        </w:rPr>
        <w:t> </w:t>
      </w:r>
      <w:r w:rsidR="005E47D6" w:rsidRPr="005E47D6">
        <w:rPr>
          <w:color w:val="000000"/>
        </w:rPr>
        <w:t>      country:</w:t>
      </w:r>
    </w:p>
    <w:p w:rsidR="005E47D6" w:rsidRPr="005E47D6" w:rsidRDefault="005E47D6" w:rsidP="005E47D6">
      <w:pPr>
        <w:widowControl/>
        <w:spacing w:before="164"/>
        <w:rPr>
          <w:rFonts w:ascii="Times New Roman" w:eastAsia="Times New Roman" w:hAnsi="Times New Roman" w:cs="Times New Roman"/>
          <w:sz w:val="24"/>
          <w:szCs w:val="24"/>
          <w:lang w:val="en-IN"/>
        </w:rPr>
      </w:pPr>
      <w:r w:rsidRPr="005E47D6">
        <w:rPr>
          <w:rFonts w:ascii="Times New Roman" w:eastAsia="Times New Roman" w:hAnsi="Times New Roman" w:cs="Times New Roman"/>
          <w:color w:val="000000"/>
          <w:sz w:val="24"/>
          <w:szCs w:val="24"/>
          <w:lang w:val="en-IN"/>
        </w:rPr>
        <w:t> </w:t>
      </w:r>
    </w:p>
    <w:p w:rsidR="005E47D6" w:rsidRPr="005E47D6" w:rsidRDefault="005E47D6" w:rsidP="005E47D6">
      <w:pPr>
        <w:widowControl/>
        <w:spacing w:line="256" w:lineRule="auto"/>
        <w:ind w:left="218" w:right="341"/>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b/>
          <w:bCs/>
          <w:color w:val="000000"/>
          <w:sz w:val="24"/>
          <w:szCs w:val="24"/>
          <w:lang w:val="en-IN"/>
        </w:rPr>
        <w:t>Petroleum, Chemical and Petrochemical Investment Region(s) (PCPIR):</w:t>
      </w:r>
      <w:r w:rsidRPr="005E47D6">
        <w:rPr>
          <w:rFonts w:ascii="Times New Roman" w:eastAsia="Times New Roman" w:hAnsi="Times New Roman" w:cs="Times New Roman"/>
          <w:color w:val="000000"/>
          <w:sz w:val="24"/>
          <w:szCs w:val="24"/>
          <w:lang w:val="en-IN"/>
        </w:rPr>
        <w:t xml:space="preserve"> Government of India had notified the Petroleum, Chemical and Petrochemical Investment Region(s) (PCPIR) Policy to attract investment and for generation of employment. Currently, three such PCPIRs have been notified in terms of this policy in the states of Andhra Pradesh (Vishakhapatnam), Gujarat (</w:t>
      </w:r>
      <w:proofErr w:type="spellStart"/>
      <w:r w:rsidRPr="005E47D6">
        <w:rPr>
          <w:rFonts w:ascii="Times New Roman" w:eastAsia="Times New Roman" w:hAnsi="Times New Roman" w:cs="Times New Roman"/>
          <w:color w:val="000000"/>
          <w:sz w:val="24"/>
          <w:szCs w:val="24"/>
          <w:lang w:val="en-IN"/>
        </w:rPr>
        <w:t>Dahej</w:t>
      </w:r>
      <w:proofErr w:type="spellEnd"/>
      <w:r w:rsidRPr="005E47D6">
        <w:rPr>
          <w:rFonts w:ascii="Times New Roman" w:eastAsia="Times New Roman" w:hAnsi="Times New Roman" w:cs="Times New Roman"/>
          <w:color w:val="000000"/>
          <w:sz w:val="24"/>
          <w:szCs w:val="24"/>
          <w:lang w:val="en-IN"/>
        </w:rPr>
        <w:t>) and Odisha (</w:t>
      </w:r>
      <w:proofErr w:type="spellStart"/>
      <w:r w:rsidRPr="005E47D6">
        <w:rPr>
          <w:rFonts w:ascii="Times New Roman" w:eastAsia="Times New Roman" w:hAnsi="Times New Roman" w:cs="Times New Roman"/>
          <w:color w:val="000000"/>
          <w:sz w:val="24"/>
          <w:szCs w:val="24"/>
          <w:lang w:val="en-IN"/>
        </w:rPr>
        <w:t>Paradeep</w:t>
      </w:r>
      <w:proofErr w:type="spellEnd"/>
      <w:r w:rsidRPr="005E47D6">
        <w:rPr>
          <w:rFonts w:ascii="Times New Roman" w:eastAsia="Times New Roman" w:hAnsi="Times New Roman" w:cs="Times New Roman"/>
          <w:color w:val="000000"/>
          <w:sz w:val="24"/>
          <w:szCs w:val="24"/>
          <w:lang w:val="en-IN"/>
        </w:rPr>
        <w:t>).</w:t>
      </w:r>
    </w:p>
    <w:p w:rsidR="005E47D6" w:rsidRPr="005E47D6" w:rsidRDefault="005E47D6" w:rsidP="005E47D6">
      <w:pPr>
        <w:widowControl/>
        <w:spacing w:before="23"/>
        <w:rPr>
          <w:rFonts w:ascii="Times New Roman" w:eastAsia="Times New Roman" w:hAnsi="Times New Roman" w:cs="Times New Roman"/>
          <w:sz w:val="24"/>
          <w:szCs w:val="24"/>
          <w:lang w:val="en-IN"/>
        </w:rPr>
      </w:pPr>
      <w:r w:rsidRPr="005E47D6">
        <w:rPr>
          <w:rFonts w:ascii="Times New Roman" w:eastAsia="Times New Roman" w:hAnsi="Times New Roman" w:cs="Times New Roman"/>
          <w:color w:val="000000"/>
          <w:sz w:val="24"/>
          <w:szCs w:val="24"/>
          <w:lang w:val="en-IN"/>
        </w:rPr>
        <w:t> </w:t>
      </w:r>
    </w:p>
    <w:p w:rsidR="005E47D6" w:rsidRPr="005E47D6" w:rsidRDefault="005E47D6" w:rsidP="005E47D6">
      <w:pPr>
        <w:widowControl/>
        <w:spacing w:line="256" w:lineRule="auto"/>
        <w:ind w:left="218" w:right="334"/>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b/>
          <w:bCs/>
          <w:color w:val="000000"/>
          <w:sz w:val="24"/>
          <w:szCs w:val="24"/>
          <w:lang w:val="en-IN"/>
        </w:rPr>
        <w:t>Plastic Parks:</w:t>
      </w:r>
      <w:r w:rsidRPr="005E47D6">
        <w:rPr>
          <w:rFonts w:ascii="Times New Roman" w:eastAsia="Times New Roman" w:hAnsi="Times New Roman" w:cs="Times New Roman"/>
          <w:sz w:val="24"/>
          <w:szCs w:val="24"/>
          <w:lang w:val="en-IN"/>
        </w:rPr>
        <w:t xml:space="preserve"> </w:t>
      </w:r>
      <w:r w:rsidRPr="005E47D6">
        <w:rPr>
          <w:rFonts w:ascii="Times New Roman" w:eastAsia="Times New Roman" w:hAnsi="Times New Roman" w:cs="Times New Roman"/>
          <w:color w:val="000000"/>
          <w:sz w:val="24"/>
          <w:szCs w:val="24"/>
          <w:lang w:val="en-IN"/>
        </w:rPr>
        <w:t xml:space="preserve">Government of India has </w:t>
      </w:r>
      <w:r w:rsidRPr="005E47D6">
        <w:rPr>
          <w:rFonts w:ascii="Times New Roman" w:eastAsia="Times New Roman" w:hAnsi="Times New Roman" w:cs="Times New Roman"/>
          <w:sz w:val="24"/>
          <w:szCs w:val="24"/>
          <w:lang w:val="en-IN"/>
        </w:rPr>
        <w:t>set</w:t>
      </w:r>
      <w:r w:rsidRPr="005E47D6">
        <w:rPr>
          <w:rFonts w:ascii="Times New Roman" w:eastAsia="Times New Roman" w:hAnsi="Times New Roman" w:cs="Times New Roman"/>
          <w:color w:val="000000"/>
          <w:sz w:val="24"/>
          <w:szCs w:val="24"/>
          <w:lang w:val="en-IN"/>
        </w:rPr>
        <w:t xml:space="preserve"> up need-based Plastic Parks with requisite state-of-the-art infrastructure and enabling common facilities. Under this initiative, </w:t>
      </w:r>
      <w:r w:rsidRPr="005E47D6">
        <w:rPr>
          <w:rFonts w:ascii="Times New Roman" w:eastAsia="Times New Roman" w:hAnsi="Times New Roman" w:cs="Times New Roman"/>
          <w:color w:val="000000"/>
          <w:sz w:val="24"/>
          <w:szCs w:val="24"/>
          <w:lang w:val="en-IN"/>
        </w:rPr>
        <w:lastRenderedPageBreak/>
        <w:t xml:space="preserve">Government has approved establishment of ten Plastic Parks across various States in the country as per the following details: </w:t>
      </w:r>
    </w:p>
    <w:p w:rsidR="005E47D6" w:rsidRPr="005E47D6" w:rsidRDefault="005E47D6" w:rsidP="005E47D6">
      <w:pPr>
        <w:widowControl/>
        <w:spacing w:line="256" w:lineRule="auto"/>
        <w:ind w:left="218" w:right="334"/>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tbl>
      <w:tblPr>
        <w:tblW w:w="4181" w:type="dxa"/>
        <w:tblInd w:w="274" w:type="dxa"/>
        <w:tblCellMar>
          <w:left w:w="0" w:type="dxa"/>
          <w:right w:w="0" w:type="dxa"/>
        </w:tblCellMar>
        <w:tblLook w:val="04A0" w:firstRow="1" w:lastRow="0" w:firstColumn="1" w:lastColumn="0" w:noHBand="0" w:noVBand="1"/>
      </w:tblPr>
      <w:tblGrid>
        <w:gridCol w:w="659"/>
        <w:gridCol w:w="3522"/>
      </w:tblGrid>
      <w:tr w:rsidR="005E47D6" w:rsidRPr="005E47D6" w:rsidTr="005E47D6">
        <w:trPr>
          <w:trHeight w:val="225"/>
        </w:trPr>
        <w:tc>
          <w:tcPr>
            <w:tcW w:w="4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11" w:lineRule="auto"/>
              <w:ind w:left="82"/>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b/>
                <w:bCs/>
                <w:sz w:val="24"/>
                <w:szCs w:val="24"/>
                <w:lang w:val="en-IN"/>
              </w:rPr>
              <w:t>S.No</w:t>
            </w:r>
            <w:proofErr w:type="spellEnd"/>
            <w:r w:rsidRPr="005E47D6">
              <w:rPr>
                <w:rFonts w:ascii="Times New Roman" w:eastAsia="Times New Roman" w:hAnsi="Times New Roman" w:cs="Times New Roman"/>
                <w:b/>
                <w:bCs/>
                <w:sz w:val="24"/>
                <w:szCs w:val="24"/>
                <w:lang w:val="en-IN"/>
              </w:rPr>
              <w:t>.</w:t>
            </w:r>
          </w:p>
        </w:tc>
        <w:tc>
          <w:tcPr>
            <w:tcW w:w="375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11" w:lineRule="auto"/>
              <w:ind w:left="682"/>
              <w:rPr>
                <w:rFonts w:ascii="Times New Roman" w:eastAsia="Times New Roman" w:hAnsi="Times New Roman" w:cs="Times New Roman"/>
                <w:sz w:val="24"/>
                <w:szCs w:val="24"/>
                <w:lang w:val="en-IN"/>
              </w:rPr>
            </w:pPr>
            <w:r w:rsidRPr="005E47D6">
              <w:rPr>
                <w:rFonts w:ascii="Times New Roman" w:eastAsia="Times New Roman" w:hAnsi="Times New Roman" w:cs="Times New Roman"/>
                <w:b/>
                <w:bCs/>
                <w:sz w:val="24"/>
                <w:szCs w:val="24"/>
                <w:lang w:val="en-IN"/>
              </w:rPr>
              <w:t>State / Location</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1.</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Paradeep</w:t>
            </w:r>
            <w:proofErr w:type="spellEnd"/>
            <w:r w:rsidRPr="005E47D6">
              <w:rPr>
                <w:rFonts w:ascii="Times New Roman" w:eastAsia="Times New Roman" w:hAnsi="Times New Roman" w:cs="Times New Roman"/>
                <w:sz w:val="24"/>
                <w:szCs w:val="24"/>
                <w:lang w:val="en-IN"/>
              </w:rPr>
              <w:t>, Odisha</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2.</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Tinsukia</w:t>
            </w:r>
            <w:proofErr w:type="spellEnd"/>
            <w:r w:rsidRPr="005E47D6">
              <w:rPr>
                <w:rFonts w:ascii="Times New Roman" w:eastAsia="Times New Roman" w:hAnsi="Times New Roman" w:cs="Times New Roman"/>
                <w:sz w:val="24"/>
                <w:szCs w:val="24"/>
                <w:lang w:val="en-IN"/>
              </w:rPr>
              <w:t>, Assam</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3.</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Thiruvallur</w:t>
            </w:r>
            <w:proofErr w:type="spellEnd"/>
            <w:r w:rsidRPr="005E47D6">
              <w:rPr>
                <w:rFonts w:ascii="Times New Roman" w:eastAsia="Times New Roman" w:hAnsi="Times New Roman" w:cs="Times New Roman"/>
                <w:sz w:val="24"/>
                <w:szCs w:val="24"/>
                <w:lang w:val="en-IN"/>
              </w:rPr>
              <w:t>, Tamil Nadu</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4.</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Deoghar</w:t>
            </w:r>
            <w:proofErr w:type="spellEnd"/>
            <w:r w:rsidRPr="005E47D6">
              <w:rPr>
                <w:rFonts w:ascii="Times New Roman" w:eastAsia="Times New Roman" w:hAnsi="Times New Roman" w:cs="Times New Roman"/>
                <w:sz w:val="24"/>
                <w:szCs w:val="24"/>
                <w:lang w:val="en-IN"/>
              </w:rPr>
              <w:t>, Jharkhand</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5.</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Sitarganj</w:t>
            </w:r>
            <w:proofErr w:type="spellEnd"/>
            <w:r w:rsidRPr="005E47D6">
              <w:rPr>
                <w:rFonts w:ascii="Times New Roman" w:eastAsia="Times New Roman" w:hAnsi="Times New Roman" w:cs="Times New Roman"/>
                <w:sz w:val="24"/>
                <w:szCs w:val="24"/>
                <w:lang w:val="en-IN"/>
              </w:rPr>
              <w:t xml:space="preserve">, </w:t>
            </w:r>
            <w:proofErr w:type="spellStart"/>
            <w:r w:rsidRPr="005E47D6">
              <w:rPr>
                <w:rFonts w:ascii="Times New Roman" w:eastAsia="Times New Roman" w:hAnsi="Times New Roman" w:cs="Times New Roman"/>
                <w:sz w:val="24"/>
                <w:szCs w:val="24"/>
                <w:lang w:val="en-IN"/>
              </w:rPr>
              <w:t>Uttarakhand</w:t>
            </w:r>
            <w:proofErr w:type="spellEnd"/>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6.</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Bilaua</w:t>
            </w:r>
            <w:proofErr w:type="spellEnd"/>
            <w:r w:rsidRPr="005E47D6">
              <w:rPr>
                <w:rFonts w:ascii="Times New Roman" w:eastAsia="Times New Roman" w:hAnsi="Times New Roman" w:cs="Times New Roman"/>
                <w:sz w:val="24"/>
                <w:szCs w:val="24"/>
                <w:lang w:val="en-IN"/>
              </w:rPr>
              <w:t>, Madhya Pradesh</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7.</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Tamot</w:t>
            </w:r>
            <w:proofErr w:type="spellEnd"/>
            <w:r w:rsidRPr="005E47D6">
              <w:rPr>
                <w:rFonts w:ascii="Times New Roman" w:eastAsia="Times New Roman" w:hAnsi="Times New Roman" w:cs="Times New Roman"/>
                <w:sz w:val="24"/>
                <w:szCs w:val="24"/>
                <w:lang w:val="en-IN"/>
              </w:rPr>
              <w:t>, Madhya Pradesh</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8.</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Sarora</w:t>
            </w:r>
            <w:proofErr w:type="spellEnd"/>
            <w:r w:rsidRPr="005E47D6">
              <w:rPr>
                <w:rFonts w:ascii="Times New Roman" w:eastAsia="Times New Roman" w:hAnsi="Times New Roman" w:cs="Times New Roman"/>
                <w:sz w:val="24"/>
                <w:szCs w:val="24"/>
                <w:lang w:val="en-IN"/>
              </w:rPr>
              <w:t>, Raipur, Chhattisgarh</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292"/>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9.</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proofErr w:type="spellStart"/>
            <w:r w:rsidRPr="005E47D6">
              <w:rPr>
                <w:rFonts w:ascii="Times New Roman" w:eastAsia="Times New Roman" w:hAnsi="Times New Roman" w:cs="Times New Roman"/>
                <w:sz w:val="24"/>
                <w:szCs w:val="24"/>
                <w:lang w:val="en-IN"/>
              </w:rPr>
              <w:t>Ganjimutt</w:t>
            </w:r>
            <w:proofErr w:type="spellEnd"/>
            <w:r w:rsidRPr="005E47D6">
              <w:rPr>
                <w:rFonts w:ascii="Times New Roman" w:eastAsia="Times New Roman" w:hAnsi="Times New Roman" w:cs="Times New Roman"/>
                <w:sz w:val="24"/>
                <w:szCs w:val="24"/>
                <w:lang w:val="en-IN"/>
              </w:rPr>
              <w:t>, Karnataka</w:t>
            </w:r>
          </w:p>
        </w:tc>
      </w:tr>
      <w:tr w:rsidR="005E47D6" w:rsidRPr="005E47D6" w:rsidTr="005E47D6">
        <w:trPr>
          <w:trHeight w:val="210"/>
        </w:trPr>
        <w:tc>
          <w:tcPr>
            <w:tcW w:w="430"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44" w:lineRule="auto"/>
              <w:ind w:left="157"/>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10.</w:t>
            </w:r>
          </w:p>
        </w:tc>
        <w:tc>
          <w:tcPr>
            <w:tcW w:w="3751" w:type="dxa"/>
            <w:tcBorders>
              <w:top w:val="nil"/>
              <w:left w:val="nil"/>
              <w:bottom w:val="single" w:sz="8" w:space="0" w:color="000000"/>
              <w:right w:val="single" w:sz="8" w:space="0" w:color="000000"/>
            </w:tcBorders>
            <w:tcMar>
              <w:top w:w="0" w:type="dxa"/>
              <w:left w:w="15" w:type="dxa"/>
              <w:bottom w:w="0" w:type="dxa"/>
              <w:right w:w="15" w:type="dxa"/>
            </w:tcMar>
            <w:hideMark/>
          </w:tcPr>
          <w:p w:rsidR="005E47D6" w:rsidRPr="005E47D6" w:rsidRDefault="005E47D6" w:rsidP="005E47D6">
            <w:pPr>
              <w:widowControl/>
              <w:spacing w:line="208" w:lineRule="auto"/>
              <w:ind w:left="37"/>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Gorakhpur, Uttar Pradesh</w:t>
            </w:r>
          </w:p>
        </w:tc>
      </w:tr>
    </w:tbl>
    <w:p w:rsidR="005E47D6" w:rsidRPr="005E47D6" w:rsidRDefault="005E47D6" w:rsidP="005E47D6">
      <w:pPr>
        <w:widowControl/>
        <w:spacing w:line="276" w:lineRule="auto"/>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p w:rsidR="005E47D6" w:rsidRPr="005E47D6" w:rsidRDefault="005E47D6" w:rsidP="005E47D6">
      <w:pPr>
        <w:widowControl/>
        <w:spacing w:line="256" w:lineRule="auto"/>
        <w:ind w:right="334"/>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p w:rsidR="005E47D6" w:rsidRPr="005E47D6" w:rsidRDefault="005E47D6" w:rsidP="005E47D6">
      <w:pPr>
        <w:widowControl/>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b/>
          <w:bCs/>
          <w:sz w:val="24"/>
          <w:szCs w:val="24"/>
          <w:lang w:val="en-IN"/>
        </w:rPr>
        <w:t>(b):</w:t>
      </w:r>
      <w:r w:rsidRPr="005E47D6">
        <w:rPr>
          <w:rFonts w:ascii="Times New Roman" w:eastAsia="Times New Roman" w:hAnsi="Times New Roman" w:cs="Times New Roman"/>
          <w:b/>
          <w:bCs/>
          <w:color w:val="000000"/>
          <w:sz w:val="24"/>
          <w:szCs w:val="24"/>
          <w:lang w:val="en-IN"/>
        </w:rPr>
        <w:t> </w:t>
      </w:r>
      <w:r w:rsidRPr="005E47D6">
        <w:rPr>
          <w:rFonts w:ascii="Times New Roman" w:eastAsia="Times New Roman" w:hAnsi="Times New Roman" w:cs="Times New Roman"/>
          <w:sz w:val="24"/>
          <w:szCs w:val="24"/>
          <w:lang w:val="en-IN"/>
        </w:rPr>
        <w:t>The Ministry of Environment, Forest and Climate Change  </w:t>
      </w:r>
      <w:r w:rsidRPr="005E47D6">
        <w:rPr>
          <w:rFonts w:ascii="Times New Roman" w:eastAsia="Times New Roman" w:hAnsi="Times New Roman" w:cs="Times New Roman"/>
          <w:spacing w:val="-5"/>
          <w:sz w:val="24"/>
          <w:szCs w:val="24"/>
          <w:lang w:val="en-IN"/>
        </w:rPr>
        <w:t>has </w:t>
      </w:r>
      <w:r w:rsidRPr="005E47D6">
        <w:rPr>
          <w:rFonts w:ascii="Times New Roman" w:eastAsia="Times New Roman" w:hAnsi="Times New Roman" w:cs="Times New Roman"/>
          <w:sz w:val="24"/>
          <w:szCs w:val="24"/>
          <w:lang w:val="en-IN"/>
        </w:rPr>
        <w:t xml:space="preserve">delineated a </w:t>
      </w:r>
      <w:r w:rsidRPr="005E47D6">
        <w:rPr>
          <w:rFonts w:ascii="Times New Roman" w:eastAsia="Times New Roman" w:hAnsi="Times New Roman" w:cs="Times New Roman"/>
          <w:sz w:val="24"/>
          <w:szCs w:val="24"/>
          <w:lang w:val="en-IN"/>
        </w:rPr>
        <w:t> </w:t>
      </w:r>
      <w:r w:rsidRPr="005E47D6">
        <w:rPr>
          <w:rFonts w:ascii="Times New Roman" w:eastAsia="Times New Roman" w:hAnsi="Times New Roman" w:cs="Times New Roman"/>
          <w:sz w:val="24"/>
          <w:szCs w:val="24"/>
          <w:lang w:val="en-IN"/>
        </w:rPr>
        <w:t> </w:t>
      </w:r>
      <w:r w:rsidRPr="005E47D6">
        <w:rPr>
          <w:rFonts w:ascii="Times New Roman" w:eastAsia="Times New Roman" w:hAnsi="Times New Roman" w:cs="Times New Roman"/>
          <w:sz w:val="24"/>
          <w:szCs w:val="24"/>
          <w:lang w:val="en-IN"/>
        </w:rPr>
        <w:t>detailed procedure for comprehensive assessment of environmental and social impacts of the project through the Environment Impact Assessment Notification, 2006, as amended; which inter-alia provides for preparation of Environment Impact Assessment Report, Environmental Management Plan, Disaster Management Plan and Public Consultation.</w:t>
      </w:r>
    </w:p>
    <w:p w:rsidR="005E47D6" w:rsidRPr="005E47D6" w:rsidRDefault="005E47D6" w:rsidP="005E47D6">
      <w:pPr>
        <w:widowControl/>
        <w:spacing w:before="32" w:line="256" w:lineRule="auto"/>
        <w:ind w:left="113" w:right="109"/>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p w:rsidR="005E47D6" w:rsidRPr="005E47D6" w:rsidRDefault="005E47D6" w:rsidP="005E47D6">
      <w:pPr>
        <w:widowControl/>
        <w:spacing w:before="32" w:line="256" w:lineRule="auto"/>
        <w:ind w:left="113" w:right="109"/>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The Expert Appraisal Committee comprising domain area experts, after detailed examination and deliberations recommends various projects including chemical industrial parks for grant of Environmental Clearance by suggesting suitable mitigation measures and Environment Management to minimize the environmental and social impacts associated with the projects.  Environmental Clearance is then issued after taking into consideration these recommendations including the findings of the EIA reports and incorporating the required conditions.</w:t>
      </w:r>
    </w:p>
    <w:p w:rsidR="005E47D6" w:rsidRPr="005E47D6" w:rsidRDefault="005E47D6" w:rsidP="005E47D6">
      <w:pPr>
        <w:widowControl/>
        <w:spacing w:before="27"/>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p w:rsidR="005E47D6" w:rsidRPr="005E47D6" w:rsidRDefault="005E47D6" w:rsidP="005E47D6">
      <w:pPr>
        <w:widowControl/>
        <w:spacing w:line="228" w:lineRule="auto"/>
        <w:ind w:left="113" w:right="108"/>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Environmental Impact Assessments have been carried out in all the three PCPIRs and in the Plastic Parks, wherever required in terms of the Environment Impact Assessment Notification, 2006.</w:t>
      </w:r>
    </w:p>
    <w:p w:rsidR="005E47D6" w:rsidRPr="005E47D6" w:rsidRDefault="005E47D6" w:rsidP="005E47D6">
      <w:pPr>
        <w:widowControl/>
        <w:spacing w:line="228" w:lineRule="auto"/>
        <w:ind w:left="113" w:right="108" w:firstLine="720"/>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p w:rsidR="005E47D6" w:rsidRPr="005E47D6" w:rsidRDefault="005E47D6" w:rsidP="005E47D6">
      <w:pPr>
        <w:widowControl/>
        <w:spacing w:before="149" w:line="228" w:lineRule="auto"/>
        <w:ind w:right="116"/>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b/>
          <w:bCs/>
          <w:sz w:val="24"/>
          <w:szCs w:val="24"/>
          <w:lang w:val="en-IN"/>
        </w:rPr>
        <w:t xml:space="preserve">(c) </w:t>
      </w:r>
      <w:r w:rsidRPr="005E47D6">
        <w:rPr>
          <w:rFonts w:ascii="Times New Roman" w:eastAsia="Times New Roman" w:hAnsi="Times New Roman" w:cs="Times New Roman"/>
          <w:b/>
          <w:bCs/>
          <w:color w:val="000000"/>
          <w:sz w:val="24"/>
          <w:szCs w:val="24"/>
          <w:lang w:val="en-IN"/>
        </w:rPr>
        <w:t>to (e):</w:t>
      </w:r>
      <w:r w:rsidRPr="005E47D6">
        <w:rPr>
          <w:rFonts w:ascii="Times New Roman" w:eastAsia="Times New Roman" w:hAnsi="Times New Roman" w:cs="Times New Roman"/>
          <w:b/>
          <w:bCs/>
          <w:color w:val="000000"/>
          <w:sz w:val="24"/>
          <w:szCs w:val="24"/>
          <w:lang w:val="en-IN"/>
        </w:rPr>
        <w:t> </w:t>
      </w:r>
      <w:r w:rsidRPr="005E47D6">
        <w:rPr>
          <w:rFonts w:ascii="Times New Roman" w:eastAsia="Times New Roman" w:hAnsi="Times New Roman" w:cs="Times New Roman"/>
          <w:b/>
          <w:bCs/>
          <w:color w:val="000000"/>
          <w:sz w:val="24"/>
          <w:szCs w:val="24"/>
          <w:lang w:val="en-IN"/>
        </w:rPr>
        <w:t xml:space="preserve"> </w:t>
      </w:r>
      <w:r w:rsidRPr="005E47D6">
        <w:rPr>
          <w:rFonts w:ascii="Times New Roman" w:eastAsia="Times New Roman" w:hAnsi="Times New Roman" w:cs="Times New Roman"/>
          <w:color w:val="000000"/>
          <w:sz w:val="24"/>
          <w:szCs w:val="24"/>
          <w:lang w:val="en-IN"/>
        </w:rPr>
        <w:t>Wherever</w:t>
      </w:r>
      <w:r w:rsidRPr="005E47D6">
        <w:rPr>
          <w:rFonts w:ascii="Times New Roman" w:eastAsia="Times New Roman" w:hAnsi="Times New Roman" w:cs="Times New Roman"/>
          <w:b/>
          <w:bCs/>
          <w:color w:val="000000"/>
          <w:sz w:val="24"/>
          <w:szCs w:val="24"/>
          <w:lang w:val="en-IN"/>
        </w:rPr>
        <w:t>, c</w:t>
      </w:r>
      <w:r w:rsidRPr="005E47D6">
        <w:rPr>
          <w:rFonts w:ascii="Times New Roman" w:eastAsia="Times New Roman" w:hAnsi="Times New Roman" w:cs="Times New Roman"/>
          <w:sz w:val="24"/>
          <w:szCs w:val="24"/>
          <w:lang w:val="en-IN"/>
        </w:rPr>
        <w:t>omplaints have been received related to air, water or soil pollution in nearby areas due to establishment of these parks, the same have been addressed from time to time.</w:t>
      </w:r>
    </w:p>
    <w:p w:rsidR="005E47D6" w:rsidRPr="005E47D6" w:rsidRDefault="005E47D6" w:rsidP="005E47D6">
      <w:pPr>
        <w:widowControl/>
        <w:spacing w:before="149" w:line="228" w:lineRule="auto"/>
        <w:ind w:right="116"/>
        <w:jc w:val="both"/>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Further to address the pollution related issues, the Industrial parks are taking preventive measures such as installation of Common Eﬄuent Treatment Plants</w:t>
      </w:r>
      <w:proofErr w:type="gramStart"/>
      <w:r w:rsidRPr="005E47D6">
        <w:rPr>
          <w:rFonts w:ascii="Times New Roman" w:eastAsia="Times New Roman" w:hAnsi="Times New Roman" w:cs="Times New Roman"/>
          <w:sz w:val="24"/>
          <w:szCs w:val="24"/>
          <w:lang w:val="en-IN"/>
        </w:rPr>
        <w:t>  &amp;</w:t>
      </w:r>
      <w:proofErr w:type="gramEnd"/>
      <w:r w:rsidRPr="005E47D6">
        <w:rPr>
          <w:rFonts w:ascii="Times New Roman" w:eastAsia="Times New Roman" w:hAnsi="Times New Roman" w:cs="Times New Roman"/>
          <w:sz w:val="24"/>
          <w:szCs w:val="24"/>
          <w:lang w:val="en-IN"/>
        </w:rPr>
        <w:t xml:space="preserve"> Incinerators for treatment of hazardous eﬄuents, Treatment, Storage &amp; Disposal Facilities for disposal of Hazardous waste and Deep Sea Discharge facilities for disposal of treated effluent from CETPs.</w:t>
      </w:r>
    </w:p>
    <w:p w:rsidR="005E47D6" w:rsidRPr="005E47D6" w:rsidRDefault="005E47D6" w:rsidP="005E47D6">
      <w:pPr>
        <w:widowControl/>
        <w:spacing w:after="160" w:line="276" w:lineRule="auto"/>
        <w:jc w:val="center"/>
        <w:rPr>
          <w:rFonts w:ascii="Times New Roman" w:eastAsia="Times New Roman" w:hAnsi="Times New Roman" w:cs="Times New Roman"/>
          <w:sz w:val="24"/>
          <w:szCs w:val="24"/>
          <w:lang w:val="en-IN"/>
        </w:rPr>
      </w:pPr>
      <w:r w:rsidRPr="005E47D6">
        <w:rPr>
          <w:rFonts w:ascii="Times New Roman" w:eastAsia="Times New Roman" w:hAnsi="Times New Roman" w:cs="Times New Roman"/>
          <w:sz w:val="24"/>
          <w:szCs w:val="24"/>
          <w:lang w:val="en-IN"/>
        </w:rPr>
        <w:t> </w:t>
      </w:r>
    </w:p>
    <w:p w:rsidR="0017757D" w:rsidRPr="00335114" w:rsidRDefault="00335114" w:rsidP="005E47D6">
      <w:pPr>
        <w:pBdr>
          <w:top w:val="nil"/>
          <w:left w:val="nil"/>
          <w:bottom w:val="nil"/>
          <w:right w:val="nil"/>
          <w:between w:val="nil"/>
        </w:pBdr>
        <w:tabs>
          <w:tab w:val="left" w:pos="384"/>
          <w:tab w:val="left" w:pos="921"/>
        </w:tabs>
        <w:spacing w:line="216" w:lineRule="auto"/>
        <w:ind w:right="126"/>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sectPr w:rsidR="0017757D" w:rsidRPr="00335114">
      <w:pgSz w:w="11900" w:h="16840"/>
      <w:pgMar w:top="1800" w:right="1417" w:bottom="280" w:left="1417"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E6984"/>
    <w:multiLevelType w:val="multilevel"/>
    <w:tmpl w:val="57D890A2"/>
    <w:lvl w:ilvl="0">
      <w:start w:val="1"/>
      <w:numFmt w:val="lowerLetter"/>
      <w:lvlText w:val="(%1)"/>
      <w:lvlJc w:val="left"/>
      <w:pPr>
        <w:ind w:left="449" w:hanging="337"/>
      </w:pPr>
      <w:rPr>
        <w:rFonts w:ascii="Helvetica Neue" w:eastAsia="Helvetica Neue" w:hAnsi="Helvetica Neue" w:cs="Helvetica Neue"/>
        <w:b w:val="0"/>
        <w:i w:val="0"/>
        <w:sz w:val="22"/>
        <w:szCs w:val="22"/>
      </w:rPr>
    </w:lvl>
    <w:lvl w:ilvl="1">
      <w:numFmt w:val="bullet"/>
      <w:lvlText w:val="•"/>
      <w:lvlJc w:val="left"/>
      <w:pPr>
        <w:ind w:left="1302" w:hanging="337"/>
      </w:pPr>
    </w:lvl>
    <w:lvl w:ilvl="2">
      <w:numFmt w:val="bullet"/>
      <w:lvlText w:val="•"/>
      <w:lvlJc w:val="left"/>
      <w:pPr>
        <w:ind w:left="2165" w:hanging="337"/>
      </w:pPr>
    </w:lvl>
    <w:lvl w:ilvl="3">
      <w:numFmt w:val="bullet"/>
      <w:lvlText w:val="•"/>
      <w:lvlJc w:val="left"/>
      <w:pPr>
        <w:ind w:left="3027" w:hanging="337"/>
      </w:pPr>
    </w:lvl>
    <w:lvl w:ilvl="4">
      <w:numFmt w:val="bullet"/>
      <w:lvlText w:val="•"/>
      <w:lvlJc w:val="left"/>
      <w:pPr>
        <w:ind w:left="3890" w:hanging="337"/>
      </w:pPr>
    </w:lvl>
    <w:lvl w:ilvl="5">
      <w:numFmt w:val="bullet"/>
      <w:lvlText w:val="•"/>
      <w:lvlJc w:val="left"/>
      <w:pPr>
        <w:ind w:left="4753" w:hanging="337"/>
      </w:pPr>
    </w:lvl>
    <w:lvl w:ilvl="6">
      <w:numFmt w:val="bullet"/>
      <w:lvlText w:val="•"/>
      <w:lvlJc w:val="left"/>
      <w:pPr>
        <w:ind w:left="5615" w:hanging="337"/>
      </w:pPr>
    </w:lvl>
    <w:lvl w:ilvl="7">
      <w:numFmt w:val="bullet"/>
      <w:lvlText w:val="•"/>
      <w:lvlJc w:val="left"/>
      <w:pPr>
        <w:ind w:left="6478" w:hanging="337"/>
      </w:pPr>
    </w:lvl>
    <w:lvl w:ilvl="8">
      <w:numFmt w:val="bullet"/>
      <w:lvlText w:val="•"/>
      <w:lvlJc w:val="left"/>
      <w:pPr>
        <w:ind w:left="7340" w:hanging="33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7D"/>
    <w:rsid w:val="000D6D58"/>
    <w:rsid w:val="0017757D"/>
    <w:rsid w:val="00335114"/>
    <w:rsid w:val="005E47D6"/>
    <w:rsid w:val="00671A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924CF-2065-4F9C-8D44-426729A9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en" w:eastAsia="en-I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13"/>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paragraph" w:styleId="NormalWeb">
    <w:name w:val="Normal (Web)"/>
    <w:basedOn w:val="Normal"/>
    <w:uiPriority w:val="99"/>
    <w:semiHidden/>
    <w:unhideWhenUsed/>
    <w:rsid w:val="005E47D6"/>
    <w:pPr>
      <w:widowControl/>
      <w:spacing w:before="100" w:beforeAutospacing="1" w:after="100" w:afterAutospacing="1"/>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5E4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Parliament</dc:creator>
  <cp:lastModifiedBy>Microsoft account</cp:lastModifiedBy>
  <cp:revision>5</cp:revision>
  <cp:lastPrinted>2025-08-18T12:12:00Z</cp:lastPrinted>
  <dcterms:created xsi:type="dcterms:W3CDTF">2025-08-18T10:29:00Z</dcterms:created>
  <dcterms:modified xsi:type="dcterms:W3CDTF">2025-08-18T12:12:00Z</dcterms:modified>
</cp:coreProperties>
</file>