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E4B" w:rsidRPr="0015138B" w:rsidRDefault="006B5E4B" w:rsidP="006B5E4B">
      <w:pPr>
        <w:pStyle w:val="ListParagraph"/>
        <w:spacing w:after="0" w:line="240" w:lineRule="auto"/>
        <w:ind w:left="0"/>
        <w:jc w:val="center"/>
        <w:rPr>
          <w:rFonts w:ascii="Arial" w:hAnsi="Arial" w:cs="Arial"/>
          <w:b/>
          <w:bCs/>
          <w:color w:val="000000"/>
          <w:sz w:val="24"/>
          <w:szCs w:val="24"/>
        </w:rPr>
      </w:pPr>
      <w:r w:rsidRPr="0015138B">
        <w:rPr>
          <w:rFonts w:ascii="Arial" w:hAnsi="Arial" w:cs="Arial"/>
          <w:b/>
          <w:bCs/>
          <w:color w:val="000000"/>
          <w:sz w:val="24"/>
          <w:szCs w:val="24"/>
        </w:rPr>
        <w:t>GOVERNMENT OF INDIA</w:t>
      </w:r>
    </w:p>
    <w:p w:rsidR="006B5E4B" w:rsidRPr="0015138B" w:rsidRDefault="006B5E4B" w:rsidP="006B5E4B">
      <w:pPr>
        <w:pStyle w:val="ListParagraph"/>
        <w:spacing w:after="0" w:line="240" w:lineRule="auto"/>
        <w:ind w:left="0"/>
        <w:jc w:val="center"/>
        <w:rPr>
          <w:rFonts w:ascii="Arial" w:hAnsi="Arial" w:cs="Arial"/>
          <w:b/>
          <w:bCs/>
          <w:color w:val="000000"/>
          <w:sz w:val="24"/>
          <w:szCs w:val="24"/>
        </w:rPr>
      </w:pPr>
      <w:r w:rsidRPr="0015138B">
        <w:rPr>
          <w:rFonts w:ascii="Arial" w:hAnsi="Arial" w:cs="Arial"/>
          <w:b/>
          <w:bCs/>
          <w:color w:val="000000"/>
          <w:sz w:val="24"/>
          <w:szCs w:val="24"/>
        </w:rPr>
        <w:t>MINISTRY OF LAW &amp; JUSTICE</w:t>
      </w:r>
    </w:p>
    <w:p w:rsidR="006B5E4B" w:rsidRPr="0015138B" w:rsidRDefault="006B5E4B" w:rsidP="006B5E4B">
      <w:pPr>
        <w:pStyle w:val="ListParagraph"/>
        <w:spacing w:after="0" w:line="240" w:lineRule="auto"/>
        <w:ind w:left="0"/>
        <w:jc w:val="center"/>
        <w:rPr>
          <w:rFonts w:ascii="Arial" w:hAnsi="Arial" w:cs="Arial"/>
          <w:b/>
          <w:bCs/>
          <w:color w:val="000000"/>
          <w:sz w:val="24"/>
          <w:szCs w:val="24"/>
        </w:rPr>
      </w:pPr>
      <w:r w:rsidRPr="0015138B">
        <w:rPr>
          <w:rFonts w:ascii="Arial" w:hAnsi="Arial" w:cs="Arial"/>
          <w:b/>
          <w:bCs/>
          <w:color w:val="000000"/>
          <w:sz w:val="24"/>
          <w:szCs w:val="24"/>
        </w:rPr>
        <w:t>DEPARTMENT OF JUSTICE</w:t>
      </w:r>
    </w:p>
    <w:p w:rsidR="006B5E4B" w:rsidRPr="0015138B" w:rsidRDefault="006B5E4B" w:rsidP="006B5E4B">
      <w:pPr>
        <w:pStyle w:val="ListParagraph"/>
        <w:spacing w:after="0" w:line="240" w:lineRule="auto"/>
        <w:ind w:left="0"/>
        <w:jc w:val="center"/>
        <w:rPr>
          <w:rFonts w:ascii="Arial" w:hAnsi="Arial" w:cs="Arial"/>
          <w:b/>
          <w:bCs/>
          <w:color w:val="000000"/>
          <w:sz w:val="24"/>
          <w:szCs w:val="24"/>
        </w:rPr>
      </w:pPr>
    </w:p>
    <w:p w:rsidR="006B5E4B" w:rsidRPr="0015138B" w:rsidRDefault="006B5E4B" w:rsidP="006B5E4B">
      <w:pPr>
        <w:pStyle w:val="ListParagraph"/>
        <w:spacing w:after="0" w:line="240" w:lineRule="auto"/>
        <w:ind w:left="0"/>
        <w:jc w:val="center"/>
        <w:rPr>
          <w:rFonts w:ascii="Arial" w:hAnsi="Arial" w:cs="Arial"/>
          <w:b/>
          <w:bCs/>
          <w:color w:val="000000"/>
          <w:sz w:val="24"/>
          <w:szCs w:val="24"/>
        </w:rPr>
      </w:pPr>
      <w:proofErr w:type="gramStart"/>
      <w:r w:rsidRPr="0015138B">
        <w:rPr>
          <w:rFonts w:ascii="Arial" w:hAnsi="Arial" w:cs="Arial"/>
          <w:b/>
          <w:bCs/>
          <w:color w:val="000000"/>
          <w:sz w:val="24"/>
          <w:szCs w:val="24"/>
        </w:rPr>
        <w:t>RAJYA  SABHA</w:t>
      </w:r>
      <w:proofErr w:type="gramEnd"/>
    </w:p>
    <w:p w:rsidR="006B5E4B" w:rsidRPr="0015138B" w:rsidRDefault="006B5E4B" w:rsidP="006B5E4B">
      <w:pPr>
        <w:pStyle w:val="ListParagraph"/>
        <w:spacing w:after="0" w:line="240" w:lineRule="auto"/>
        <w:ind w:left="0"/>
        <w:jc w:val="center"/>
        <w:rPr>
          <w:rFonts w:ascii="Arial" w:hAnsi="Arial" w:cs="Arial"/>
          <w:b/>
          <w:bCs/>
          <w:color w:val="000000"/>
          <w:sz w:val="24"/>
          <w:szCs w:val="24"/>
        </w:rPr>
      </w:pPr>
    </w:p>
    <w:p w:rsidR="006B5E4B" w:rsidRPr="0015138B" w:rsidRDefault="006B5E4B" w:rsidP="006B5E4B">
      <w:pPr>
        <w:pStyle w:val="ListParagraph"/>
        <w:spacing w:after="0" w:line="240" w:lineRule="auto"/>
        <w:ind w:left="0"/>
        <w:jc w:val="center"/>
        <w:rPr>
          <w:rFonts w:ascii="Arial" w:hAnsi="Arial" w:cs="Arial"/>
          <w:b/>
          <w:bCs/>
          <w:color w:val="000000"/>
          <w:sz w:val="24"/>
          <w:szCs w:val="24"/>
        </w:rPr>
      </w:pPr>
      <w:proofErr w:type="gramStart"/>
      <w:r w:rsidRPr="0015138B">
        <w:rPr>
          <w:rFonts w:ascii="Arial" w:hAnsi="Arial" w:cs="Arial"/>
          <w:b/>
          <w:bCs/>
          <w:color w:val="000000"/>
          <w:sz w:val="24"/>
          <w:szCs w:val="24"/>
        </w:rPr>
        <w:t>UNSTARRED QUESTION NO.</w:t>
      </w:r>
      <w:proofErr w:type="gramEnd"/>
      <w:r w:rsidRPr="0015138B">
        <w:rPr>
          <w:rFonts w:ascii="Arial" w:hAnsi="Arial" w:cs="Arial"/>
          <w:b/>
          <w:bCs/>
          <w:color w:val="000000"/>
          <w:sz w:val="24"/>
          <w:szCs w:val="24"/>
        </w:rPr>
        <w:t xml:space="preserve"> 594</w:t>
      </w:r>
    </w:p>
    <w:p w:rsidR="006B5E4B" w:rsidRPr="0015138B" w:rsidRDefault="006B5E4B" w:rsidP="006B5E4B">
      <w:pPr>
        <w:pStyle w:val="ListParagraph"/>
        <w:spacing w:after="0" w:line="240" w:lineRule="auto"/>
        <w:ind w:left="0"/>
        <w:jc w:val="center"/>
        <w:rPr>
          <w:rFonts w:ascii="Arial" w:hAnsi="Arial" w:cs="Arial"/>
          <w:b/>
          <w:bCs/>
          <w:color w:val="000000"/>
          <w:sz w:val="24"/>
          <w:szCs w:val="24"/>
        </w:rPr>
      </w:pPr>
    </w:p>
    <w:p w:rsidR="006B5E4B" w:rsidRPr="0015138B" w:rsidRDefault="006B5E4B" w:rsidP="006B5E4B">
      <w:pPr>
        <w:pStyle w:val="ListParagraph"/>
        <w:spacing w:after="0" w:line="240" w:lineRule="auto"/>
        <w:ind w:left="0"/>
        <w:jc w:val="center"/>
        <w:rPr>
          <w:rFonts w:ascii="Arial" w:hAnsi="Arial" w:cs="Arial"/>
          <w:b/>
          <w:bCs/>
          <w:color w:val="000000"/>
          <w:sz w:val="24"/>
          <w:szCs w:val="24"/>
        </w:rPr>
      </w:pPr>
      <w:r w:rsidRPr="0015138B">
        <w:rPr>
          <w:rFonts w:ascii="Arial" w:hAnsi="Arial" w:cs="Arial"/>
          <w:b/>
          <w:bCs/>
          <w:color w:val="000000"/>
          <w:sz w:val="24"/>
          <w:szCs w:val="24"/>
        </w:rPr>
        <w:t>TO BE ANSWERED ON THURSDAY, THE 06</w:t>
      </w:r>
      <w:r w:rsidRPr="0015138B">
        <w:rPr>
          <w:rFonts w:ascii="Arial" w:hAnsi="Arial" w:cs="Arial"/>
          <w:b/>
          <w:bCs/>
          <w:color w:val="000000"/>
          <w:sz w:val="24"/>
          <w:szCs w:val="24"/>
          <w:vertAlign w:val="superscript"/>
        </w:rPr>
        <w:t>th</w:t>
      </w:r>
      <w:r w:rsidRPr="0015138B">
        <w:rPr>
          <w:rFonts w:ascii="Arial" w:hAnsi="Arial" w:cs="Arial"/>
          <w:b/>
          <w:bCs/>
          <w:color w:val="000000"/>
          <w:sz w:val="24"/>
          <w:szCs w:val="24"/>
        </w:rPr>
        <w:t xml:space="preserve"> FEBRUARY, 2020.</w:t>
      </w:r>
    </w:p>
    <w:p w:rsidR="006B5E4B" w:rsidRPr="0015138B" w:rsidRDefault="006B5E4B" w:rsidP="006B5E4B">
      <w:pPr>
        <w:pStyle w:val="ListParagraph"/>
        <w:spacing w:after="0" w:line="240" w:lineRule="auto"/>
        <w:ind w:left="0"/>
        <w:jc w:val="center"/>
        <w:rPr>
          <w:rFonts w:ascii="Arial" w:hAnsi="Arial" w:cs="Arial"/>
          <w:b/>
          <w:bCs/>
          <w:color w:val="000000"/>
          <w:sz w:val="24"/>
          <w:szCs w:val="24"/>
        </w:rPr>
      </w:pPr>
    </w:p>
    <w:p w:rsidR="006B5E4B" w:rsidRPr="0015138B" w:rsidRDefault="006B5E4B" w:rsidP="006B5E4B">
      <w:pPr>
        <w:pStyle w:val="ListParagraph"/>
        <w:spacing w:after="0" w:line="240" w:lineRule="auto"/>
        <w:ind w:left="0"/>
        <w:jc w:val="center"/>
        <w:rPr>
          <w:rFonts w:ascii="Arial" w:hAnsi="Arial" w:cs="Arial"/>
          <w:b/>
          <w:bCs/>
          <w:sz w:val="24"/>
          <w:szCs w:val="24"/>
        </w:rPr>
      </w:pPr>
      <w:r w:rsidRPr="0015138B">
        <w:rPr>
          <w:rFonts w:ascii="Arial" w:hAnsi="Arial" w:cs="Arial"/>
          <w:b/>
          <w:bCs/>
          <w:sz w:val="24"/>
          <w:szCs w:val="24"/>
        </w:rPr>
        <w:t>Timely disposal of court cases</w:t>
      </w:r>
    </w:p>
    <w:p w:rsidR="006B5E4B" w:rsidRPr="0015138B" w:rsidRDefault="006B5E4B" w:rsidP="006B5E4B">
      <w:pPr>
        <w:pStyle w:val="ListParagraph"/>
        <w:spacing w:after="0" w:line="240" w:lineRule="auto"/>
        <w:ind w:left="0"/>
        <w:jc w:val="both"/>
        <w:rPr>
          <w:rFonts w:ascii="Arial" w:hAnsi="Arial" w:cs="Arial"/>
          <w:b/>
          <w:bCs/>
          <w:sz w:val="24"/>
          <w:szCs w:val="24"/>
        </w:rPr>
      </w:pPr>
    </w:p>
    <w:p w:rsidR="006B5E4B" w:rsidRPr="0015138B" w:rsidRDefault="006B5E4B" w:rsidP="006B5E4B">
      <w:pPr>
        <w:pStyle w:val="ListParagraph"/>
        <w:spacing w:after="0" w:line="240" w:lineRule="auto"/>
        <w:ind w:left="0"/>
        <w:jc w:val="both"/>
        <w:rPr>
          <w:rFonts w:ascii="Arial" w:hAnsi="Arial" w:cs="Arial"/>
          <w:b/>
          <w:bCs/>
          <w:sz w:val="24"/>
          <w:szCs w:val="24"/>
        </w:rPr>
      </w:pPr>
      <w:r w:rsidRPr="0015138B">
        <w:rPr>
          <w:rFonts w:ascii="Arial" w:hAnsi="Arial" w:cs="Arial"/>
          <w:b/>
          <w:bCs/>
          <w:sz w:val="24"/>
          <w:szCs w:val="24"/>
        </w:rPr>
        <w:t>594.  SHRI NEERAJ SHEKHAR:</w:t>
      </w:r>
    </w:p>
    <w:p w:rsidR="006B5E4B" w:rsidRPr="0015138B" w:rsidRDefault="006B5E4B" w:rsidP="006B5E4B">
      <w:pPr>
        <w:pStyle w:val="ListParagraph"/>
        <w:spacing w:after="0" w:line="240" w:lineRule="auto"/>
        <w:ind w:left="0"/>
        <w:jc w:val="both"/>
        <w:rPr>
          <w:rFonts w:ascii="Arial" w:hAnsi="Arial" w:cs="Arial"/>
          <w:b/>
          <w:bCs/>
          <w:sz w:val="24"/>
          <w:szCs w:val="24"/>
        </w:rPr>
      </w:pPr>
      <w:r w:rsidRPr="0015138B">
        <w:rPr>
          <w:rFonts w:ascii="Arial" w:hAnsi="Arial" w:cs="Arial"/>
          <w:b/>
          <w:bCs/>
          <w:sz w:val="24"/>
          <w:szCs w:val="24"/>
        </w:rPr>
        <w:t xml:space="preserve">         </w:t>
      </w:r>
    </w:p>
    <w:p w:rsidR="006B5E4B" w:rsidRPr="0015138B" w:rsidRDefault="006B5E4B" w:rsidP="006B5E4B">
      <w:pPr>
        <w:pStyle w:val="ListParagraph"/>
        <w:spacing w:after="0" w:line="240" w:lineRule="auto"/>
        <w:ind w:left="0"/>
        <w:jc w:val="both"/>
        <w:rPr>
          <w:rFonts w:ascii="Arial" w:hAnsi="Arial" w:cs="Arial"/>
          <w:b/>
          <w:bCs/>
          <w:color w:val="000000"/>
          <w:sz w:val="24"/>
          <w:szCs w:val="24"/>
        </w:rPr>
      </w:pPr>
    </w:p>
    <w:p w:rsidR="006B5E4B" w:rsidRPr="0015138B" w:rsidRDefault="006B5E4B" w:rsidP="006B5E4B">
      <w:pPr>
        <w:pStyle w:val="ListParagraph"/>
        <w:spacing w:after="0" w:line="240" w:lineRule="auto"/>
        <w:ind w:left="0"/>
        <w:jc w:val="both"/>
        <w:rPr>
          <w:rFonts w:ascii="Arial" w:hAnsi="Arial" w:cs="Arial"/>
          <w:b/>
          <w:bCs/>
          <w:color w:val="000000"/>
          <w:sz w:val="24"/>
          <w:szCs w:val="24"/>
        </w:rPr>
      </w:pPr>
      <w:r w:rsidRPr="0015138B">
        <w:rPr>
          <w:rFonts w:ascii="Arial" w:hAnsi="Arial" w:cs="Arial"/>
          <w:b/>
          <w:bCs/>
          <w:color w:val="000000"/>
          <w:sz w:val="24"/>
          <w:szCs w:val="24"/>
        </w:rPr>
        <w:t xml:space="preserve">Will the Minister of LAW AND JUSTICE be pleased to </w:t>
      </w:r>
      <w:proofErr w:type="gramStart"/>
      <w:r w:rsidRPr="0015138B">
        <w:rPr>
          <w:rFonts w:ascii="Arial" w:hAnsi="Arial" w:cs="Arial"/>
          <w:b/>
          <w:bCs/>
          <w:color w:val="000000"/>
          <w:sz w:val="24"/>
          <w:szCs w:val="24"/>
        </w:rPr>
        <w:t>state:</w:t>
      </w:r>
      <w:proofErr w:type="gramEnd"/>
    </w:p>
    <w:p w:rsidR="006B5E4B" w:rsidRPr="0015138B" w:rsidRDefault="006B5E4B" w:rsidP="006B5E4B">
      <w:pPr>
        <w:autoSpaceDE w:val="0"/>
        <w:spacing w:after="0" w:line="240" w:lineRule="auto"/>
        <w:jc w:val="both"/>
        <w:rPr>
          <w:rFonts w:ascii="Arial" w:hAnsi="Arial" w:cs="Arial"/>
          <w:b/>
          <w:bCs/>
          <w:sz w:val="24"/>
          <w:szCs w:val="24"/>
        </w:rPr>
      </w:pPr>
    </w:p>
    <w:p w:rsidR="006B5E4B" w:rsidRPr="0015138B" w:rsidRDefault="006B5E4B" w:rsidP="006B5E4B">
      <w:pPr>
        <w:autoSpaceDE w:val="0"/>
        <w:spacing w:after="0" w:line="240" w:lineRule="auto"/>
        <w:jc w:val="both"/>
        <w:rPr>
          <w:rFonts w:ascii="Arial" w:hAnsi="Arial" w:cs="Arial"/>
          <w:b/>
          <w:bCs/>
          <w:sz w:val="24"/>
          <w:szCs w:val="24"/>
        </w:rPr>
      </w:pPr>
      <w:r w:rsidRPr="0015138B">
        <w:rPr>
          <w:rFonts w:ascii="Arial" w:hAnsi="Arial" w:cs="Arial"/>
          <w:b/>
          <w:bCs/>
          <w:sz w:val="24"/>
          <w:szCs w:val="24"/>
        </w:rPr>
        <w:t>(a) whether Government would make efforts for timely disposal of court cases by ensuring adequate number of judges, supporting court staffs and physical infrastructure and timely investigation reports;</w:t>
      </w:r>
    </w:p>
    <w:p w:rsidR="006B5E4B" w:rsidRPr="0015138B" w:rsidRDefault="006B5E4B" w:rsidP="006B5E4B">
      <w:pPr>
        <w:autoSpaceDE w:val="0"/>
        <w:spacing w:after="0" w:line="240" w:lineRule="auto"/>
        <w:jc w:val="both"/>
        <w:rPr>
          <w:rFonts w:ascii="Arial" w:hAnsi="Arial" w:cs="Arial"/>
          <w:b/>
          <w:bCs/>
          <w:sz w:val="24"/>
          <w:szCs w:val="24"/>
        </w:rPr>
      </w:pPr>
    </w:p>
    <w:p w:rsidR="006B5E4B" w:rsidRPr="0015138B" w:rsidRDefault="006B5E4B" w:rsidP="006B5E4B">
      <w:pPr>
        <w:autoSpaceDE w:val="0"/>
        <w:spacing w:after="0" w:line="240" w:lineRule="auto"/>
        <w:jc w:val="both"/>
        <w:rPr>
          <w:rFonts w:ascii="Arial" w:hAnsi="Arial" w:cs="Arial"/>
          <w:b/>
          <w:bCs/>
          <w:sz w:val="24"/>
          <w:szCs w:val="24"/>
        </w:rPr>
      </w:pPr>
      <w:r w:rsidRPr="0015138B">
        <w:rPr>
          <w:rFonts w:ascii="Arial" w:hAnsi="Arial" w:cs="Arial"/>
          <w:b/>
          <w:bCs/>
          <w:sz w:val="24"/>
          <w:szCs w:val="24"/>
        </w:rPr>
        <w:t xml:space="preserve">(b) </w:t>
      </w:r>
      <w:proofErr w:type="gramStart"/>
      <w:r w:rsidRPr="0015138B">
        <w:rPr>
          <w:rFonts w:ascii="Arial" w:hAnsi="Arial" w:cs="Arial"/>
          <w:b/>
          <w:bCs/>
          <w:sz w:val="24"/>
          <w:szCs w:val="24"/>
        </w:rPr>
        <w:t>if</w:t>
      </w:r>
      <w:proofErr w:type="gramEnd"/>
      <w:r w:rsidRPr="0015138B">
        <w:rPr>
          <w:rFonts w:ascii="Arial" w:hAnsi="Arial" w:cs="Arial"/>
          <w:b/>
          <w:bCs/>
          <w:sz w:val="24"/>
          <w:szCs w:val="24"/>
        </w:rPr>
        <w:t xml:space="preserve"> so, the  details thereof along with the details of measure taken for the same during the last three years; </w:t>
      </w:r>
    </w:p>
    <w:p w:rsidR="006B5E4B" w:rsidRPr="0015138B" w:rsidRDefault="006B5E4B" w:rsidP="006B5E4B">
      <w:pPr>
        <w:autoSpaceDE w:val="0"/>
        <w:spacing w:after="0" w:line="240" w:lineRule="auto"/>
        <w:jc w:val="both"/>
        <w:rPr>
          <w:rFonts w:ascii="Arial" w:hAnsi="Arial" w:cs="Arial"/>
          <w:b/>
          <w:bCs/>
          <w:sz w:val="24"/>
          <w:szCs w:val="24"/>
        </w:rPr>
      </w:pPr>
    </w:p>
    <w:p w:rsidR="006B5E4B" w:rsidRPr="0015138B" w:rsidRDefault="006B5E4B" w:rsidP="006B5E4B">
      <w:pPr>
        <w:autoSpaceDE w:val="0"/>
        <w:spacing w:after="0" w:line="240" w:lineRule="auto"/>
        <w:jc w:val="both"/>
        <w:rPr>
          <w:rFonts w:ascii="Arial" w:hAnsi="Arial" w:cs="Arial"/>
          <w:b/>
          <w:bCs/>
          <w:sz w:val="24"/>
          <w:szCs w:val="24"/>
        </w:rPr>
      </w:pPr>
      <w:r w:rsidRPr="0015138B">
        <w:rPr>
          <w:rFonts w:ascii="Arial" w:hAnsi="Arial" w:cs="Arial"/>
          <w:b/>
          <w:bCs/>
          <w:sz w:val="24"/>
          <w:szCs w:val="24"/>
        </w:rPr>
        <w:t xml:space="preserve">(c) </w:t>
      </w:r>
      <w:proofErr w:type="gramStart"/>
      <w:r w:rsidRPr="0015138B">
        <w:rPr>
          <w:rFonts w:ascii="Arial" w:hAnsi="Arial" w:cs="Arial"/>
          <w:b/>
          <w:bCs/>
          <w:sz w:val="24"/>
          <w:szCs w:val="24"/>
        </w:rPr>
        <w:t>if</w:t>
      </w:r>
      <w:proofErr w:type="gramEnd"/>
      <w:r w:rsidRPr="0015138B">
        <w:rPr>
          <w:rFonts w:ascii="Arial" w:hAnsi="Arial" w:cs="Arial"/>
          <w:b/>
          <w:bCs/>
          <w:sz w:val="24"/>
          <w:szCs w:val="24"/>
        </w:rPr>
        <w:t xml:space="preserve"> not, the reasons </w:t>
      </w:r>
      <w:proofErr w:type="spellStart"/>
      <w:r w:rsidRPr="0015138B">
        <w:rPr>
          <w:rFonts w:ascii="Arial" w:hAnsi="Arial" w:cs="Arial"/>
          <w:b/>
          <w:bCs/>
          <w:sz w:val="24"/>
          <w:szCs w:val="24"/>
        </w:rPr>
        <w:t>therefor</w:t>
      </w:r>
      <w:proofErr w:type="spellEnd"/>
      <w:r w:rsidRPr="0015138B">
        <w:rPr>
          <w:rFonts w:ascii="Arial" w:hAnsi="Arial" w:cs="Arial"/>
          <w:b/>
          <w:bCs/>
          <w:sz w:val="24"/>
          <w:szCs w:val="24"/>
        </w:rPr>
        <w:t xml:space="preserve">; and </w:t>
      </w:r>
    </w:p>
    <w:p w:rsidR="006B5E4B" w:rsidRPr="0015138B" w:rsidRDefault="006B5E4B" w:rsidP="006B5E4B">
      <w:pPr>
        <w:autoSpaceDE w:val="0"/>
        <w:spacing w:after="0" w:line="240" w:lineRule="auto"/>
        <w:jc w:val="both"/>
        <w:rPr>
          <w:rFonts w:ascii="Arial" w:hAnsi="Arial" w:cs="Arial"/>
          <w:b/>
          <w:bCs/>
          <w:sz w:val="24"/>
          <w:szCs w:val="24"/>
        </w:rPr>
      </w:pPr>
    </w:p>
    <w:p w:rsidR="006B5E4B" w:rsidRPr="0015138B" w:rsidRDefault="006B5E4B" w:rsidP="006B5E4B">
      <w:pPr>
        <w:autoSpaceDE w:val="0"/>
        <w:spacing w:after="0" w:line="240" w:lineRule="auto"/>
        <w:jc w:val="both"/>
        <w:rPr>
          <w:rFonts w:ascii="Arial" w:hAnsi="Arial" w:cs="Arial"/>
          <w:b/>
          <w:bCs/>
          <w:color w:val="000000"/>
          <w:sz w:val="24"/>
          <w:szCs w:val="24"/>
        </w:rPr>
      </w:pPr>
      <w:r w:rsidRPr="0015138B">
        <w:rPr>
          <w:rFonts w:ascii="Arial" w:hAnsi="Arial" w:cs="Arial"/>
          <w:b/>
          <w:bCs/>
          <w:sz w:val="24"/>
          <w:szCs w:val="24"/>
        </w:rPr>
        <w:t>(d) the details of measures taken for strict adherence of Supreme Court`s directions regarding zero pendency of cases pending since last 10 years?</w:t>
      </w:r>
    </w:p>
    <w:p w:rsidR="006B5E4B" w:rsidRPr="0015138B" w:rsidRDefault="006B5E4B" w:rsidP="006B5E4B">
      <w:pPr>
        <w:autoSpaceDE w:val="0"/>
        <w:spacing w:after="0" w:line="240" w:lineRule="auto"/>
        <w:jc w:val="center"/>
        <w:rPr>
          <w:rFonts w:ascii="Arial" w:hAnsi="Arial" w:cs="Arial"/>
          <w:b/>
          <w:bCs/>
          <w:color w:val="000000"/>
          <w:sz w:val="24"/>
          <w:szCs w:val="24"/>
        </w:rPr>
      </w:pPr>
    </w:p>
    <w:p w:rsidR="006B5E4B" w:rsidRPr="0015138B" w:rsidRDefault="006B5E4B" w:rsidP="006B5E4B">
      <w:pPr>
        <w:autoSpaceDE w:val="0"/>
        <w:spacing w:after="0" w:line="240" w:lineRule="auto"/>
        <w:jc w:val="center"/>
        <w:rPr>
          <w:rFonts w:ascii="Arial" w:hAnsi="Arial" w:cs="Arial"/>
          <w:b/>
          <w:bCs/>
          <w:color w:val="000000"/>
          <w:sz w:val="24"/>
          <w:szCs w:val="24"/>
        </w:rPr>
      </w:pPr>
      <w:r w:rsidRPr="0015138B">
        <w:rPr>
          <w:rFonts w:ascii="Arial" w:hAnsi="Arial" w:cs="Arial"/>
          <w:b/>
          <w:bCs/>
          <w:color w:val="000000"/>
          <w:sz w:val="24"/>
          <w:szCs w:val="24"/>
        </w:rPr>
        <w:t>ANSWER</w:t>
      </w:r>
    </w:p>
    <w:p w:rsidR="006B5E4B" w:rsidRPr="0015138B" w:rsidRDefault="006B5E4B" w:rsidP="006B5E4B">
      <w:pPr>
        <w:spacing w:after="0" w:line="240" w:lineRule="auto"/>
        <w:jc w:val="center"/>
        <w:rPr>
          <w:rFonts w:ascii="Arial" w:hAnsi="Arial" w:cs="Arial"/>
          <w:b/>
          <w:bCs/>
          <w:sz w:val="24"/>
          <w:szCs w:val="24"/>
        </w:rPr>
      </w:pPr>
    </w:p>
    <w:p w:rsidR="006B5E4B" w:rsidRPr="0015138B" w:rsidRDefault="006B5E4B" w:rsidP="006B5E4B">
      <w:pPr>
        <w:spacing w:after="0" w:line="240" w:lineRule="auto"/>
        <w:jc w:val="center"/>
        <w:rPr>
          <w:rFonts w:ascii="Arial" w:hAnsi="Arial" w:cs="Arial"/>
          <w:b/>
          <w:bCs/>
          <w:color w:val="000000"/>
          <w:sz w:val="24"/>
          <w:szCs w:val="24"/>
        </w:rPr>
      </w:pPr>
      <w:r w:rsidRPr="0015138B">
        <w:rPr>
          <w:rFonts w:ascii="Arial" w:hAnsi="Arial" w:cs="Arial"/>
          <w:b/>
          <w:bCs/>
          <w:sz w:val="24"/>
          <w:szCs w:val="24"/>
        </w:rPr>
        <w:t xml:space="preserve">MINISTER OF LAW &amp; JUSTICE, COMMUNICATIONS AND ELECTRONICS &amp; INFORMATION TECHNOLOGY </w:t>
      </w:r>
    </w:p>
    <w:p w:rsidR="006B5E4B" w:rsidRPr="0015138B" w:rsidRDefault="006B5E4B" w:rsidP="006B5E4B">
      <w:pPr>
        <w:pStyle w:val="ListParagraph"/>
        <w:spacing w:after="0" w:line="240" w:lineRule="auto"/>
        <w:ind w:left="0"/>
        <w:jc w:val="center"/>
        <w:rPr>
          <w:rFonts w:ascii="Arial" w:hAnsi="Arial" w:cs="Arial"/>
          <w:b/>
          <w:bCs/>
          <w:color w:val="000000"/>
          <w:sz w:val="24"/>
          <w:szCs w:val="24"/>
        </w:rPr>
      </w:pPr>
      <w:r w:rsidRPr="0015138B">
        <w:rPr>
          <w:rFonts w:ascii="Arial" w:hAnsi="Arial" w:cs="Arial"/>
          <w:b/>
          <w:bCs/>
          <w:color w:val="000000"/>
          <w:sz w:val="24"/>
          <w:szCs w:val="24"/>
        </w:rPr>
        <w:t>(</w:t>
      </w:r>
      <w:r w:rsidRPr="0015138B">
        <w:rPr>
          <w:rFonts w:ascii="Arial" w:hAnsi="Arial" w:cs="Arial"/>
          <w:b/>
          <w:bCs/>
          <w:sz w:val="24"/>
          <w:szCs w:val="24"/>
        </w:rPr>
        <w:t>SHRI RAVI SHANKAR PRASAD</w:t>
      </w:r>
      <w:r w:rsidRPr="0015138B">
        <w:rPr>
          <w:rFonts w:ascii="Arial" w:hAnsi="Arial" w:cs="Arial"/>
          <w:b/>
          <w:bCs/>
          <w:color w:val="000000"/>
          <w:sz w:val="24"/>
          <w:szCs w:val="24"/>
        </w:rPr>
        <w:t>)</w:t>
      </w:r>
    </w:p>
    <w:p w:rsidR="006B5E4B" w:rsidRPr="0015138B" w:rsidRDefault="006B5E4B" w:rsidP="006B5E4B">
      <w:pPr>
        <w:pStyle w:val="ListParagraph"/>
        <w:spacing w:after="0" w:line="360" w:lineRule="auto"/>
        <w:ind w:left="0"/>
        <w:jc w:val="center"/>
        <w:rPr>
          <w:rFonts w:ascii="Arial" w:hAnsi="Arial" w:cs="Arial"/>
          <w:b/>
          <w:bCs/>
          <w:color w:val="000000"/>
          <w:sz w:val="24"/>
          <w:szCs w:val="24"/>
        </w:rPr>
      </w:pPr>
    </w:p>
    <w:p w:rsidR="006B5E4B" w:rsidRPr="0015138B" w:rsidRDefault="006B5E4B" w:rsidP="006B5E4B">
      <w:pPr>
        <w:suppressAutoHyphens/>
        <w:spacing w:after="0" w:line="360" w:lineRule="auto"/>
        <w:jc w:val="both"/>
        <w:rPr>
          <w:rFonts w:ascii="Arial" w:hAnsi="Arial" w:cs="Arial"/>
          <w:bCs/>
          <w:color w:val="000000"/>
          <w:sz w:val="24"/>
          <w:szCs w:val="24"/>
        </w:rPr>
      </w:pPr>
      <w:r w:rsidRPr="0015138B">
        <w:rPr>
          <w:rFonts w:ascii="Arial" w:hAnsi="Arial" w:cs="Arial"/>
          <w:color w:val="000000"/>
          <w:sz w:val="24"/>
          <w:szCs w:val="24"/>
        </w:rPr>
        <w:t>(</w:t>
      </w:r>
      <w:proofErr w:type="gramStart"/>
      <w:r w:rsidRPr="0015138B">
        <w:rPr>
          <w:rFonts w:ascii="Arial" w:hAnsi="Arial" w:cs="Arial"/>
          <w:color w:val="000000"/>
          <w:sz w:val="24"/>
          <w:szCs w:val="24"/>
        </w:rPr>
        <w:t>a</w:t>
      </w:r>
      <w:proofErr w:type="gramEnd"/>
      <w:r w:rsidRPr="0015138B">
        <w:rPr>
          <w:rFonts w:ascii="Arial" w:hAnsi="Arial" w:cs="Arial"/>
          <w:color w:val="000000"/>
          <w:sz w:val="24"/>
          <w:szCs w:val="24"/>
        </w:rPr>
        <w:t xml:space="preserve">) </w:t>
      </w:r>
      <w:r>
        <w:rPr>
          <w:rFonts w:ascii="Arial" w:hAnsi="Arial" w:cs="Arial"/>
          <w:color w:val="000000"/>
          <w:sz w:val="24"/>
          <w:szCs w:val="24"/>
        </w:rPr>
        <w:t>and</w:t>
      </w:r>
      <w:r w:rsidRPr="0015138B">
        <w:rPr>
          <w:rFonts w:ascii="Arial" w:hAnsi="Arial" w:cs="Arial"/>
          <w:color w:val="000000"/>
          <w:sz w:val="24"/>
          <w:szCs w:val="24"/>
        </w:rPr>
        <w:t xml:space="preserve"> (</w:t>
      </w:r>
      <w:r>
        <w:rPr>
          <w:rFonts w:ascii="Arial" w:hAnsi="Arial" w:cs="Arial"/>
          <w:color w:val="000000"/>
          <w:sz w:val="24"/>
          <w:szCs w:val="24"/>
        </w:rPr>
        <w:t>b</w:t>
      </w:r>
      <w:r w:rsidRPr="0015138B">
        <w:rPr>
          <w:rFonts w:ascii="Arial" w:hAnsi="Arial" w:cs="Arial"/>
          <w:color w:val="000000"/>
          <w:sz w:val="24"/>
          <w:szCs w:val="24"/>
        </w:rPr>
        <w:t>):</w:t>
      </w:r>
      <w:r w:rsidRPr="0015138B">
        <w:rPr>
          <w:rFonts w:ascii="Arial" w:hAnsi="Arial" w:cs="Arial"/>
          <w:color w:val="000000"/>
          <w:sz w:val="24"/>
          <w:szCs w:val="24"/>
        </w:rPr>
        <w:tab/>
      </w:r>
      <w:r w:rsidRPr="0015138B">
        <w:rPr>
          <w:rFonts w:ascii="Arial" w:hAnsi="Arial" w:cs="Arial"/>
          <w:sz w:val="24"/>
          <w:szCs w:val="24"/>
        </w:rPr>
        <w:t>Disposal of cases in courts is within the domain of judiciary. T</w:t>
      </w:r>
      <w:r w:rsidRPr="0015138B">
        <w:rPr>
          <w:rFonts w:ascii="Arial" w:hAnsi="Arial" w:cs="Arial"/>
          <w:color w:val="000000"/>
          <w:sz w:val="24"/>
          <w:szCs w:val="24"/>
        </w:rPr>
        <w:t xml:space="preserve">imely disposal of cases in courts depends on several factors which  , </w:t>
      </w:r>
      <w:r w:rsidRPr="0015138B">
        <w:rPr>
          <w:rFonts w:ascii="Arial" w:hAnsi="Arial" w:cs="Arial"/>
          <w:i/>
          <w:iCs/>
          <w:color w:val="000000"/>
          <w:sz w:val="24"/>
          <w:szCs w:val="24"/>
        </w:rPr>
        <w:t>inter-alia</w:t>
      </w:r>
      <w:r w:rsidRPr="0015138B">
        <w:rPr>
          <w:rFonts w:ascii="Arial" w:hAnsi="Arial" w:cs="Arial"/>
          <w:color w:val="000000"/>
          <w:sz w:val="24"/>
          <w:szCs w:val="24"/>
        </w:rPr>
        <w:t xml:space="preserve">, include availability of adequate number of judges, supporting court staff and physical infrastructure, complexity of facts involved, nature of evidence, co-operation of stake holders viz. bar, investigation agencies, witnesses and litigants and proper application of rules and procedures.  </w:t>
      </w:r>
    </w:p>
    <w:p w:rsidR="006B5E4B" w:rsidRPr="0015138B" w:rsidRDefault="006B5E4B" w:rsidP="006B5E4B">
      <w:pPr>
        <w:pStyle w:val="NoSpacing"/>
        <w:spacing w:line="360" w:lineRule="auto"/>
        <w:jc w:val="both"/>
        <w:rPr>
          <w:rFonts w:ascii="Arial" w:hAnsi="Arial" w:cs="Arial"/>
          <w:color w:val="000000"/>
          <w:sz w:val="24"/>
          <w:szCs w:val="24"/>
        </w:rPr>
      </w:pPr>
      <w:r w:rsidRPr="0015138B">
        <w:rPr>
          <w:rFonts w:ascii="Arial" w:hAnsi="Arial" w:cs="Arial"/>
          <w:sz w:val="24"/>
          <w:szCs w:val="24"/>
        </w:rPr>
        <w:lastRenderedPageBreak/>
        <w:t xml:space="preserve">            However, the Union Government is committed to speedy disposal of cases and reduction in pendency of cases. The National Mission for Justice Delivery and Legal Reforms has adopted many strategic initiatives, including improving infrastructure [court halls and residential units] for Judicial Officers of District and Subordinate Courts, leveraging Information and Communication Technology (ICT) for better justice delivery, filling up of vacant positions of Judges in High Courts and Supreme Court, reduction in pendency through follow up by Arrears Committees at District, High Court and Supreme Court level, emphasis on Alternate Dispute Resolution (ADR) and initiatives to fast track special type of cases. </w:t>
      </w:r>
      <w:r w:rsidRPr="0015138B">
        <w:rPr>
          <w:rFonts w:ascii="Arial" w:hAnsi="Arial" w:cs="Arial"/>
          <w:color w:val="000000"/>
          <w:sz w:val="24"/>
          <w:szCs w:val="24"/>
        </w:rPr>
        <w:t>The major steps taken during the last five years under various initiatives are as follows:</w:t>
      </w:r>
    </w:p>
    <w:p w:rsidR="006B5E4B" w:rsidRPr="0015138B" w:rsidRDefault="006B5E4B" w:rsidP="006B5E4B">
      <w:pPr>
        <w:pStyle w:val="NoSpacing"/>
        <w:numPr>
          <w:ilvl w:val="0"/>
          <w:numId w:val="1"/>
        </w:numPr>
        <w:spacing w:line="360" w:lineRule="auto"/>
        <w:jc w:val="both"/>
        <w:rPr>
          <w:rFonts w:ascii="Arial" w:hAnsi="Arial" w:cs="Arial"/>
          <w:color w:val="000000"/>
          <w:sz w:val="24"/>
          <w:szCs w:val="24"/>
        </w:rPr>
      </w:pPr>
      <w:r w:rsidRPr="0015138B">
        <w:rPr>
          <w:rFonts w:ascii="Arial" w:hAnsi="Arial" w:cs="Arial"/>
          <w:color w:val="000000"/>
          <w:sz w:val="24"/>
          <w:szCs w:val="24"/>
          <w:u w:val="single"/>
        </w:rPr>
        <w:t>Improving infrastructure for Judicial Officers of District and Subordinate Courts</w:t>
      </w:r>
      <w:r w:rsidRPr="0015138B">
        <w:rPr>
          <w:rFonts w:ascii="Arial" w:hAnsi="Arial" w:cs="Arial"/>
          <w:color w:val="000000"/>
          <w:sz w:val="24"/>
          <w:szCs w:val="24"/>
        </w:rPr>
        <w:t xml:space="preserve">: As on date, Rs. 7,453.10 </w:t>
      </w:r>
      <w:proofErr w:type="spellStart"/>
      <w:r w:rsidRPr="0015138B">
        <w:rPr>
          <w:rFonts w:ascii="Arial" w:hAnsi="Arial" w:cs="Arial"/>
          <w:color w:val="000000"/>
          <w:sz w:val="24"/>
          <w:szCs w:val="24"/>
        </w:rPr>
        <w:t>crores</w:t>
      </w:r>
      <w:proofErr w:type="spellEnd"/>
      <w:r w:rsidRPr="0015138B">
        <w:rPr>
          <w:rFonts w:ascii="Arial" w:hAnsi="Arial" w:cs="Arial"/>
          <w:color w:val="000000"/>
          <w:sz w:val="24"/>
          <w:szCs w:val="24"/>
        </w:rPr>
        <w:t xml:space="preserve"> </w:t>
      </w:r>
      <w:proofErr w:type="gramStart"/>
      <w:r w:rsidRPr="0015138B">
        <w:rPr>
          <w:rFonts w:ascii="Arial" w:hAnsi="Arial" w:cs="Arial"/>
          <w:color w:val="000000"/>
          <w:sz w:val="24"/>
          <w:szCs w:val="24"/>
        </w:rPr>
        <w:t>have</w:t>
      </w:r>
      <w:proofErr w:type="gramEnd"/>
      <w:r w:rsidRPr="0015138B">
        <w:rPr>
          <w:rFonts w:ascii="Arial" w:hAnsi="Arial" w:cs="Arial"/>
          <w:color w:val="000000"/>
          <w:sz w:val="24"/>
          <w:szCs w:val="24"/>
        </w:rPr>
        <w:t xml:space="preserve"> been released since the inception of the Centrally Sponsored Scheme (CSS) for Development of Infrastructure Facilities for Judiciary in 1993-94. Out of this, Rs.4, 008.80 </w:t>
      </w:r>
      <w:proofErr w:type="spellStart"/>
      <w:r w:rsidRPr="0015138B">
        <w:rPr>
          <w:rFonts w:ascii="Arial" w:hAnsi="Arial" w:cs="Arial"/>
          <w:color w:val="000000"/>
          <w:sz w:val="24"/>
          <w:szCs w:val="24"/>
        </w:rPr>
        <w:t>crores</w:t>
      </w:r>
      <w:proofErr w:type="spellEnd"/>
      <w:r w:rsidRPr="0015138B">
        <w:rPr>
          <w:rFonts w:ascii="Arial" w:hAnsi="Arial" w:cs="Arial"/>
          <w:color w:val="000000"/>
          <w:sz w:val="24"/>
          <w:szCs w:val="24"/>
        </w:rPr>
        <w:t xml:space="preserve"> (which </w:t>
      </w:r>
      <w:proofErr w:type="gramStart"/>
      <w:r w:rsidRPr="0015138B">
        <w:rPr>
          <w:rFonts w:ascii="Arial" w:hAnsi="Arial" w:cs="Arial"/>
          <w:color w:val="000000"/>
          <w:sz w:val="24"/>
          <w:szCs w:val="24"/>
        </w:rPr>
        <w:t>is</w:t>
      </w:r>
      <w:proofErr w:type="gramEnd"/>
      <w:r w:rsidRPr="0015138B">
        <w:rPr>
          <w:rFonts w:ascii="Arial" w:hAnsi="Arial" w:cs="Arial"/>
          <w:color w:val="000000"/>
          <w:sz w:val="24"/>
          <w:szCs w:val="24"/>
        </w:rPr>
        <w:t xml:space="preserve"> 53.79% of the total amount released till date) have been released to the States and UTs since April, 2014. The number of court halls has increased from 15,818 as on 30.06.2014 to </w:t>
      </w:r>
      <w:r w:rsidRPr="0015138B">
        <w:rPr>
          <w:rFonts w:ascii="Arial" w:hAnsi="Arial" w:cs="Arial"/>
          <w:sz w:val="24"/>
          <w:szCs w:val="24"/>
        </w:rPr>
        <w:t>19,632</w:t>
      </w:r>
      <w:r w:rsidRPr="0015138B">
        <w:rPr>
          <w:rFonts w:ascii="Arial" w:hAnsi="Arial" w:cs="Arial"/>
          <w:color w:val="000000"/>
          <w:sz w:val="24"/>
          <w:szCs w:val="24"/>
        </w:rPr>
        <w:t xml:space="preserve"> as on 29.01.2020 and number of residential units has increased from 10,211 as on 30.06.2014 to </w:t>
      </w:r>
      <w:r w:rsidRPr="0015138B">
        <w:rPr>
          <w:rFonts w:ascii="Arial" w:hAnsi="Arial" w:cs="Arial"/>
          <w:sz w:val="24"/>
          <w:szCs w:val="24"/>
        </w:rPr>
        <w:t>17,412</w:t>
      </w:r>
      <w:r w:rsidRPr="0015138B">
        <w:rPr>
          <w:rFonts w:ascii="Arial" w:hAnsi="Arial" w:cs="Arial"/>
          <w:color w:val="000000"/>
          <w:sz w:val="24"/>
          <w:szCs w:val="24"/>
        </w:rPr>
        <w:t xml:space="preserve"> as on 29.01.2020 under this scheme. In addition, </w:t>
      </w:r>
      <w:r w:rsidRPr="0015138B">
        <w:rPr>
          <w:rFonts w:ascii="Arial" w:hAnsi="Arial" w:cs="Arial"/>
          <w:sz w:val="24"/>
          <w:szCs w:val="24"/>
        </w:rPr>
        <w:t>2,713</w:t>
      </w:r>
      <w:r w:rsidRPr="0015138B">
        <w:rPr>
          <w:rFonts w:ascii="Arial" w:hAnsi="Arial" w:cs="Arial"/>
          <w:color w:val="000000"/>
          <w:sz w:val="24"/>
          <w:szCs w:val="24"/>
        </w:rPr>
        <w:t xml:space="preserve"> court halls and </w:t>
      </w:r>
      <w:r w:rsidRPr="0015138B">
        <w:rPr>
          <w:rFonts w:ascii="Arial" w:hAnsi="Arial" w:cs="Arial"/>
          <w:sz w:val="24"/>
          <w:szCs w:val="24"/>
        </w:rPr>
        <w:t>1,893</w:t>
      </w:r>
      <w:r w:rsidRPr="0015138B">
        <w:rPr>
          <w:rFonts w:ascii="Arial" w:hAnsi="Arial" w:cs="Arial"/>
          <w:color w:val="000000"/>
          <w:sz w:val="24"/>
          <w:szCs w:val="24"/>
        </w:rPr>
        <w:t xml:space="preserve"> residential units are under construction. </w:t>
      </w:r>
    </w:p>
    <w:p w:rsidR="006B5E4B" w:rsidRPr="0015138B" w:rsidRDefault="006B5E4B" w:rsidP="006B5E4B">
      <w:pPr>
        <w:pStyle w:val="NoSpacing"/>
        <w:numPr>
          <w:ilvl w:val="0"/>
          <w:numId w:val="1"/>
        </w:numPr>
        <w:spacing w:line="360" w:lineRule="auto"/>
        <w:jc w:val="both"/>
        <w:rPr>
          <w:rFonts w:ascii="Arial" w:hAnsi="Arial" w:cs="Arial"/>
          <w:color w:val="000000"/>
          <w:sz w:val="24"/>
          <w:szCs w:val="24"/>
        </w:rPr>
      </w:pPr>
      <w:r w:rsidRPr="0015138B">
        <w:rPr>
          <w:rFonts w:ascii="Arial" w:hAnsi="Arial" w:cs="Arial"/>
          <w:color w:val="000000"/>
          <w:sz w:val="24"/>
          <w:szCs w:val="24"/>
          <w:u w:val="single"/>
        </w:rPr>
        <w:t>Leveraging Information and Communication Technology (ICT) for improved justice delivery</w:t>
      </w:r>
      <w:r w:rsidRPr="0015138B">
        <w:rPr>
          <w:rFonts w:ascii="Arial" w:hAnsi="Arial" w:cs="Arial"/>
          <w:color w:val="000000"/>
          <w:sz w:val="24"/>
          <w:szCs w:val="24"/>
        </w:rPr>
        <w:t xml:space="preserve">: </w:t>
      </w:r>
      <w:r w:rsidRPr="0015138B">
        <w:rPr>
          <w:rFonts w:ascii="Arial" w:hAnsi="Arial" w:cs="Arial"/>
          <w:sz w:val="24"/>
          <w:szCs w:val="24"/>
        </w:rPr>
        <w:t xml:space="preserve">Government has been implementing the e-Courts Mission Mode Project throughout the country for Information and Communication Technology enablement of district and subordinate courts.  </w:t>
      </w:r>
      <w:r w:rsidRPr="0015138B">
        <w:rPr>
          <w:rFonts w:ascii="Arial" w:hAnsi="Arial" w:cs="Arial"/>
          <w:color w:val="000000"/>
          <w:sz w:val="24"/>
          <w:szCs w:val="24"/>
        </w:rPr>
        <w:t xml:space="preserve">Number of computerized District &amp; Subordinate courts has increased from 13,672 to </w:t>
      </w:r>
      <w:r w:rsidRPr="0015138B">
        <w:rPr>
          <w:rFonts w:ascii="Arial" w:hAnsi="Arial" w:cs="Arial"/>
          <w:sz w:val="24"/>
          <w:szCs w:val="24"/>
        </w:rPr>
        <w:t xml:space="preserve">16,845 registering an increase of 3,173 during </w:t>
      </w:r>
      <w:r w:rsidRPr="0015138B">
        <w:rPr>
          <w:rFonts w:ascii="Arial" w:hAnsi="Arial" w:cs="Arial"/>
          <w:color w:val="000000"/>
          <w:sz w:val="24"/>
          <w:szCs w:val="24"/>
        </w:rPr>
        <w:t xml:space="preserve">2014 till date. New and user-friendly version of Case Information Software has been developed and deployed at all the computerized District and Subordinate Courts. </w:t>
      </w:r>
      <w:r w:rsidRPr="0015138B">
        <w:rPr>
          <w:rFonts w:ascii="Arial" w:hAnsi="Arial" w:cs="Arial"/>
          <w:sz w:val="24"/>
          <w:szCs w:val="24"/>
        </w:rPr>
        <w:t xml:space="preserve">All stakeholders including Judicial Officers can access information relating to judicial proceedings/decisions of computerized District &amp; Subordinate Courts and High Courts on the National Judicial Data Grid (NJDG). Currently, case status information in respect of over 12.97 </w:t>
      </w:r>
      <w:proofErr w:type="spellStart"/>
      <w:r w:rsidRPr="0015138B">
        <w:rPr>
          <w:rFonts w:ascii="Arial" w:hAnsi="Arial" w:cs="Arial"/>
          <w:sz w:val="24"/>
          <w:szCs w:val="24"/>
        </w:rPr>
        <w:t>crore</w:t>
      </w:r>
      <w:proofErr w:type="spellEnd"/>
      <w:r w:rsidRPr="0015138B">
        <w:rPr>
          <w:rFonts w:ascii="Arial" w:hAnsi="Arial" w:cs="Arial"/>
          <w:sz w:val="24"/>
          <w:szCs w:val="24"/>
        </w:rPr>
        <w:t xml:space="preserve"> pending and disposed cases and more than 11.15 </w:t>
      </w:r>
      <w:proofErr w:type="spellStart"/>
      <w:r w:rsidRPr="0015138B">
        <w:rPr>
          <w:rFonts w:ascii="Arial" w:hAnsi="Arial" w:cs="Arial"/>
          <w:sz w:val="24"/>
          <w:szCs w:val="24"/>
        </w:rPr>
        <w:t>crore</w:t>
      </w:r>
      <w:proofErr w:type="spellEnd"/>
      <w:r w:rsidRPr="0015138B">
        <w:rPr>
          <w:rFonts w:ascii="Arial" w:hAnsi="Arial" w:cs="Arial"/>
          <w:sz w:val="24"/>
          <w:szCs w:val="24"/>
        </w:rPr>
        <w:t xml:space="preserve"> orders / judgments pertaining to these </w:t>
      </w:r>
      <w:r w:rsidRPr="0015138B">
        <w:rPr>
          <w:rFonts w:ascii="Arial" w:hAnsi="Arial" w:cs="Arial"/>
          <w:sz w:val="24"/>
          <w:szCs w:val="24"/>
        </w:rPr>
        <w:lastRenderedPageBreak/>
        <w:t>computerized courts is available on NJDG.</w:t>
      </w:r>
      <w:r w:rsidRPr="0015138B">
        <w:rPr>
          <w:rFonts w:ascii="Arial" w:hAnsi="Arial" w:cs="Arial"/>
          <w:color w:val="000000"/>
          <w:sz w:val="24"/>
          <w:szCs w:val="24"/>
        </w:rPr>
        <w:t xml:space="preserve"> </w:t>
      </w:r>
      <w:proofErr w:type="spellStart"/>
      <w:r w:rsidRPr="0015138B">
        <w:rPr>
          <w:rFonts w:ascii="Arial" w:hAnsi="Arial" w:cs="Arial"/>
          <w:color w:val="000000"/>
          <w:sz w:val="24"/>
          <w:szCs w:val="24"/>
        </w:rPr>
        <w:t>eCourts</w:t>
      </w:r>
      <w:proofErr w:type="spellEnd"/>
      <w:r w:rsidRPr="0015138B">
        <w:rPr>
          <w:rFonts w:ascii="Arial" w:hAnsi="Arial" w:cs="Arial"/>
          <w:color w:val="000000"/>
          <w:sz w:val="24"/>
          <w:szCs w:val="24"/>
        </w:rPr>
        <w:t xml:space="preserve"> services such as details of case registration, cause list, case status, daily orders &amp; final judgments are available to litigants and advocates through </w:t>
      </w:r>
      <w:proofErr w:type="spellStart"/>
      <w:r w:rsidRPr="0015138B">
        <w:rPr>
          <w:rFonts w:ascii="Arial" w:hAnsi="Arial" w:cs="Arial"/>
          <w:color w:val="000000"/>
          <w:sz w:val="24"/>
          <w:szCs w:val="24"/>
        </w:rPr>
        <w:t>eCourts</w:t>
      </w:r>
      <w:proofErr w:type="spellEnd"/>
      <w:r w:rsidRPr="0015138B">
        <w:rPr>
          <w:rFonts w:ascii="Arial" w:hAnsi="Arial" w:cs="Arial"/>
          <w:color w:val="000000"/>
          <w:sz w:val="24"/>
          <w:szCs w:val="24"/>
        </w:rPr>
        <w:t xml:space="preserve"> web portal, Judicial Service </w:t>
      </w:r>
      <w:proofErr w:type="spellStart"/>
      <w:r w:rsidRPr="0015138B">
        <w:rPr>
          <w:rFonts w:ascii="Arial" w:hAnsi="Arial" w:cs="Arial"/>
          <w:color w:val="000000"/>
          <w:sz w:val="24"/>
          <w:szCs w:val="24"/>
        </w:rPr>
        <w:t>Centres</w:t>
      </w:r>
      <w:proofErr w:type="spellEnd"/>
      <w:r w:rsidRPr="0015138B">
        <w:rPr>
          <w:rFonts w:ascii="Arial" w:hAnsi="Arial" w:cs="Arial"/>
          <w:color w:val="000000"/>
          <w:sz w:val="24"/>
          <w:szCs w:val="24"/>
        </w:rPr>
        <w:t xml:space="preserve"> (JSC) in all computerized courts, </w:t>
      </w:r>
      <w:proofErr w:type="spellStart"/>
      <w:r w:rsidRPr="0015138B">
        <w:rPr>
          <w:rFonts w:ascii="Arial" w:hAnsi="Arial" w:cs="Arial"/>
          <w:color w:val="000000"/>
          <w:sz w:val="24"/>
          <w:szCs w:val="24"/>
        </w:rPr>
        <w:t>eCourts</w:t>
      </w:r>
      <w:proofErr w:type="spellEnd"/>
      <w:r w:rsidRPr="0015138B">
        <w:rPr>
          <w:rFonts w:ascii="Arial" w:hAnsi="Arial" w:cs="Arial"/>
          <w:color w:val="000000"/>
          <w:sz w:val="24"/>
          <w:szCs w:val="24"/>
        </w:rPr>
        <w:t xml:space="preserve"> Mobile App, email service, SMS push &amp; pull services. Video Conferencing facility has been enabled between 3240 court complexes and 1272 corresponding jails.</w:t>
      </w:r>
    </w:p>
    <w:p w:rsidR="006B5E4B" w:rsidRPr="0015138B" w:rsidRDefault="006B5E4B" w:rsidP="006B5E4B">
      <w:pPr>
        <w:pStyle w:val="NoSpacing"/>
        <w:numPr>
          <w:ilvl w:val="0"/>
          <w:numId w:val="1"/>
        </w:numPr>
        <w:spacing w:line="360" w:lineRule="auto"/>
        <w:jc w:val="both"/>
        <w:rPr>
          <w:rFonts w:ascii="Arial" w:hAnsi="Arial" w:cs="Arial"/>
          <w:color w:val="000000"/>
          <w:sz w:val="24"/>
          <w:szCs w:val="24"/>
        </w:rPr>
      </w:pPr>
      <w:r w:rsidRPr="0015138B">
        <w:rPr>
          <w:rFonts w:ascii="Arial" w:hAnsi="Arial" w:cs="Arial"/>
          <w:color w:val="000000"/>
          <w:sz w:val="24"/>
          <w:szCs w:val="24"/>
          <w:u w:val="single"/>
        </w:rPr>
        <w:t>Filling up of vacant positions in Supreme Court, High Courts and District and Subordinate Courts:</w:t>
      </w:r>
      <w:r w:rsidRPr="0015138B">
        <w:rPr>
          <w:rFonts w:ascii="Arial" w:hAnsi="Arial" w:cs="Arial"/>
          <w:color w:val="000000"/>
          <w:sz w:val="24"/>
          <w:szCs w:val="24"/>
        </w:rPr>
        <w:t xml:space="preserve"> From 01.05.2014 to 30.01.2020, </w:t>
      </w:r>
      <w:r w:rsidRPr="0015138B">
        <w:rPr>
          <w:rFonts w:ascii="Arial" w:hAnsi="Arial" w:cs="Arial"/>
          <w:sz w:val="24"/>
          <w:szCs w:val="24"/>
        </w:rPr>
        <w:t>35</w:t>
      </w:r>
      <w:r w:rsidRPr="0015138B">
        <w:rPr>
          <w:rFonts w:ascii="Arial" w:hAnsi="Arial" w:cs="Arial"/>
          <w:color w:val="000000"/>
          <w:sz w:val="24"/>
          <w:szCs w:val="24"/>
        </w:rPr>
        <w:t xml:space="preserve"> Judges were appointed in Supreme Court. 515 new Judges were appointed and </w:t>
      </w:r>
      <w:r w:rsidRPr="0015138B">
        <w:rPr>
          <w:rFonts w:ascii="Arial" w:hAnsi="Arial" w:cs="Arial"/>
          <w:sz w:val="24"/>
          <w:szCs w:val="24"/>
        </w:rPr>
        <w:t>435</w:t>
      </w:r>
      <w:r w:rsidRPr="0015138B">
        <w:rPr>
          <w:rFonts w:ascii="Arial" w:hAnsi="Arial" w:cs="Arial"/>
          <w:color w:val="000000"/>
          <w:sz w:val="24"/>
          <w:szCs w:val="24"/>
        </w:rPr>
        <w:t xml:space="preserve"> Additional Judges were made permanent in the High Courts. Sanctioned strength of Judges of High Courts has been increased from 906 in May, 2014 to 1079 currently. Sanctioned and working strength of Judicial Officers in District and Subordinate Courts has increased as follows:</w:t>
      </w:r>
    </w:p>
    <w:tbl>
      <w:tblPr>
        <w:tblW w:w="0" w:type="auto"/>
        <w:jc w:val="right"/>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22"/>
        <w:gridCol w:w="2867"/>
        <w:gridCol w:w="2641"/>
      </w:tblGrid>
      <w:tr w:rsidR="006B5E4B" w:rsidRPr="0015138B" w:rsidTr="009E6771">
        <w:trPr>
          <w:jc w:val="right"/>
        </w:trPr>
        <w:tc>
          <w:tcPr>
            <w:tcW w:w="2322" w:type="dxa"/>
            <w:tcBorders>
              <w:top w:val="single" w:sz="4" w:space="0" w:color="000000"/>
              <w:left w:val="single" w:sz="4" w:space="0" w:color="000000"/>
              <w:bottom w:val="single" w:sz="4" w:space="0" w:color="000000"/>
              <w:right w:val="single" w:sz="4" w:space="0" w:color="000000"/>
            </w:tcBorders>
            <w:hideMark/>
          </w:tcPr>
          <w:p w:rsidR="006B5E4B" w:rsidRPr="0015138B" w:rsidRDefault="006B5E4B" w:rsidP="009E6771">
            <w:pPr>
              <w:spacing w:after="0" w:line="360" w:lineRule="auto"/>
              <w:jc w:val="both"/>
              <w:rPr>
                <w:rFonts w:ascii="Arial" w:hAnsi="Arial" w:cs="Arial"/>
                <w:color w:val="000000"/>
                <w:sz w:val="24"/>
                <w:szCs w:val="24"/>
              </w:rPr>
            </w:pPr>
            <w:r w:rsidRPr="0015138B">
              <w:rPr>
                <w:rFonts w:ascii="Arial" w:hAnsi="Arial" w:cs="Arial"/>
                <w:color w:val="000000"/>
                <w:sz w:val="24"/>
                <w:szCs w:val="24"/>
              </w:rPr>
              <w:t>As on</w:t>
            </w:r>
          </w:p>
        </w:tc>
        <w:tc>
          <w:tcPr>
            <w:tcW w:w="2867" w:type="dxa"/>
            <w:tcBorders>
              <w:top w:val="single" w:sz="4" w:space="0" w:color="000000"/>
              <w:left w:val="single" w:sz="4" w:space="0" w:color="000000"/>
              <w:bottom w:val="single" w:sz="4" w:space="0" w:color="000000"/>
              <w:right w:val="single" w:sz="4" w:space="0" w:color="000000"/>
            </w:tcBorders>
            <w:hideMark/>
          </w:tcPr>
          <w:p w:rsidR="006B5E4B" w:rsidRPr="0015138B" w:rsidRDefault="006B5E4B" w:rsidP="009E6771">
            <w:pPr>
              <w:spacing w:after="0" w:line="360" w:lineRule="auto"/>
              <w:jc w:val="both"/>
              <w:rPr>
                <w:rFonts w:ascii="Arial" w:hAnsi="Arial" w:cs="Arial"/>
                <w:color w:val="000000"/>
                <w:sz w:val="24"/>
                <w:szCs w:val="24"/>
              </w:rPr>
            </w:pPr>
            <w:r w:rsidRPr="0015138B">
              <w:rPr>
                <w:rFonts w:ascii="Arial" w:hAnsi="Arial" w:cs="Arial"/>
                <w:color w:val="000000"/>
                <w:sz w:val="24"/>
                <w:szCs w:val="24"/>
              </w:rPr>
              <w:t>Sanctioned Strength</w:t>
            </w:r>
          </w:p>
        </w:tc>
        <w:tc>
          <w:tcPr>
            <w:tcW w:w="2641" w:type="dxa"/>
            <w:tcBorders>
              <w:top w:val="single" w:sz="4" w:space="0" w:color="000000"/>
              <w:left w:val="single" w:sz="4" w:space="0" w:color="000000"/>
              <w:bottom w:val="single" w:sz="4" w:space="0" w:color="000000"/>
              <w:right w:val="single" w:sz="4" w:space="0" w:color="000000"/>
            </w:tcBorders>
            <w:hideMark/>
          </w:tcPr>
          <w:p w:rsidR="006B5E4B" w:rsidRPr="0015138B" w:rsidRDefault="006B5E4B" w:rsidP="009E6771">
            <w:pPr>
              <w:spacing w:after="0" w:line="360" w:lineRule="auto"/>
              <w:jc w:val="both"/>
              <w:rPr>
                <w:rFonts w:ascii="Arial" w:hAnsi="Arial" w:cs="Arial"/>
                <w:color w:val="000000"/>
                <w:sz w:val="24"/>
                <w:szCs w:val="24"/>
              </w:rPr>
            </w:pPr>
            <w:r w:rsidRPr="0015138B">
              <w:rPr>
                <w:rFonts w:ascii="Arial" w:hAnsi="Arial" w:cs="Arial"/>
                <w:color w:val="000000"/>
                <w:sz w:val="24"/>
                <w:szCs w:val="24"/>
              </w:rPr>
              <w:t>Working Strength</w:t>
            </w:r>
          </w:p>
        </w:tc>
      </w:tr>
      <w:tr w:rsidR="006B5E4B" w:rsidRPr="0015138B" w:rsidTr="009E6771">
        <w:trPr>
          <w:jc w:val="right"/>
        </w:trPr>
        <w:tc>
          <w:tcPr>
            <w:tcW w:w="2322" w:type="dxa"/>
            <w:tcBorders>
              <w:top w:val="single" w:sz="4" w:space="0" w:color="000000"/>
              <w:left w:val="single" w:sz="4" w:space="0" w:color="000000"/>
              <w:bottom w:val="single" w:sz="4" w:space="0" w:color="000000"/>
              <w:right w:val="single" w:sz="4" w:space="0" w:color="000000"/>
            </w:tcBorders>
            <w:hideMark/>
          </w:tcPr>
          <w:p w:rsidR="006B5E4B" w:rsidRPr="0015138B" w:rsidRDefault="006B5E4B" w:rsidP="009E6771">
            <w:pPr>
              <w:spacing w:after="0" w:line="360" w:lineRule="auto"/>
              <w:jc w:val="both"/>
              <w:rPr>
                <w:rFonts w:ascii="Arial" w:hAnsi="Arial" w:cs="Arial"/>
                <w:color w:val="000000"/>
                <w:sz w:val="24"/>
                <w:szCs w:val="24"/>
              </w:rPr>
            </w:pPr>
            <w:r w:rsidRPr="0015138B">
              <w:rPr>
                <w:rFonts w:ascii="Arial" w:hAnsi="Arial" w:cs="Arial"/>
                <w:color w:val="000000"/>
                <w:sz w:val="24"/>
                <w:szCs w:val="24"/>
              </w:rPr>
              <w:t>31.12.2013</w:t>
            </w:r>
          </w:p>
        </w:tc>
        <w:tc>
          <w:tcPr>
            <w:tcW w:w="2867" w:type="dxa"/>
            <w:tcBorders>
              <w:top w:val="single" w:sz="4" w:space="0" w:color="000000"/>
              <w:left w:val="single" w:sz="4" w:space="0" w:color="000000"/>
              <w:bottom w:val="single" w:sz="4" w:space="0" w:color="000000"/>
              <w:right w:val="single" w:sz="4" w:space="0" w:color="000000"/>
            </w:tcBorders>
            <w:hideMark/>
          </w:tcPr>
          <w:p w:rsidR="006B5E4B" w:rsidRPr="0015138B" w:rsidRDefault="006B5E4B" w:rsidP="009E6771">
            <w:pPr>
              <w:spacing w:after="0" w:line="360" w:lineRule="auto"/>
              <w:jc w:val="both"/>
              <w:rPr>
                <w:rFonts w:ascii="Arial" w:hAnsi="Arial" w:cs="Arial"/>
                <w:color w:val="000000"/>
                <w:sz w:val="24"/>
                <w:szCs w:val="24"/>
              </w:rPr>
            </w:pPr>
            <w:r w:rsidRPr="0015138B">
              <w:rPr>
                <w:rFonts w:ascii="Arial" w:hAnsi="Arial" w:cs="Arial"/>
                <w:color w:val="000000"/>
                <w:sz w:val="24"/>
                <w:szCs w:val="24"/>
              </w:rPr>
              <w:t>19,518</w:t>
            </w:r>
          </w:p>
        </w:tc>
        <w:tc>
          <w:tcPr>
            <w:tcW w:w="2641" w:type="dxa"/>
            <w:tcBorders>
              <w:top w:val="single" w:sz="4" w:space="0" w:color="000000"/>
              <w:left w:val="single" w:sz="4" w:space="0" w:color="000000"/>
              <w:bottom w:val="single" w:sz="4" w:space="0" w:color="000000"/>
              <w:right w:val="single" w:sz="4" w:space="0" w:color="000000"/>
            </w:tcBorders>
            <w:hideMark/>
          </w:tcPr>
          <w:p w:rsidR="006B5E4B" w:rsidRPr="0015138B" w:rsidRDefault="006B5E4B" w:rsidP="009E6771">
            <w:pPr>
              <w:spacing w:after="0" w:line="360" w:lineRule="auto"/>
              <w:jc w:val="both"/>
              <w:rPr>
                <w:rFonts w:ascii="Arial" w:hAnsi="Arial" w:cs="Arial"/>
                <w:color w:val="000000"/>
                <w:sz w:val="24"/>
                <w:szCs w:val="24"/>
              </w:rPr>
            </w:pPr>
            <w:r w:rsidRPr="0015138B">
              <w:rPr>
                <w:rFonts w:ascii="Arial" w:hAnsi="Arial" w:cs="Arial"/>
                <w:color w:val="000000"/>
                <w:sz w:val="24"/>
                <w:szCs w:val="24"/>
              </w:rPr>
              <w:t>15,115</w:t>
            </w:r>
          </w:p>
        </w:tc>
      </w:tr>
      <w:tr w:rsidR="006B5E4B" w:rsidRPr="0015138B" w:rsidTr="009E6771">
        <w:trPr>
          <w:jc w:val="right"/>
        </w:trPr>
        <w:tc>
          <w:tcPr>
            <w:tcW w:w="2322" w:type="dxa"/>
            <w:tcBorders>
              <w:top w:val="single" w:sz="4" w:space="0" w:color="000000"/>
              <w:left w:val="single" w:sz="4" w:space="0" w:color="000000"/>
              <w:bottom w:val="single" w:sz="4" w:space="0" w:color="000000"/>
              <w:right w:val="single" w:sz="4" w:space="0" w:color="000000"/>
            </w:tcBorders>
            <w:hideMark/>
          </w:tcPr>
          <w:p w:rsidR="006B5E4B" w:rsidRPr="0015138B" w:rsidRDefault="006B5E4B" w:rsidP="009E6771">
            <w:pPr>
              <w:spacing w:after="0" w:line="360" w:lineRule="auto"/>
              <w:jc w:val="both"/>
              <w:rPr>
                <w:rFonts w:ascii="Arial" w:hAnsi="Arial" w:cs="Arial"/>
                <w:sz w:val="24"/>
                <w:szCs w:val="24"/>
              </w:rPr>
            </w:pPr>
            <w:r w:rsidRPr="0015138B">
              <w:rPr>
                <w:rFonts w:ascii="Arial" w:hAnsi="Arial" w:cs="Arial"/>
                <w:sz w:val="24"/>
                <w:szCs w:val="24"/>
              </w:rPr>
              <w:t>29.01.2020</w:t>
            </w:r>
          </w:p>
        </w:tc>
        <w:tc>
          <w:tcPr>
            <w:tcW w:w="2867" w:type="dxa"/>
            <w:tcBorders>
              <w:top w:val="single" w:sz="4" w:space="0" w:color="000000"/>
              <w:left w:val="single" w:sz="4" w:space="0" w:color="000000"/>
              <w:bottom w:val="single" w:sz="4" w:space="0" w:color="000000"/>
              <w:right w:val="single" w:sz="4" w:space="0" w:color="000000"/>
            </w:tcBorders>
            <w:hideMark/>
          </w:tcPr>
          <w:p w:rsidR="006B5E4B" w:rsidRPr="0015138B" w:rsidRDefault="006B5E4B" w:rsidP="009E6771">
            <w:pPr>
              <w:spacing w:after="0" w:line="360" w:lineRule="auto"/>
              <w:jc w:val="both"/>
              <w:rPr>
                <w:rFonts w:ascii="Arial" w:hAnsi="Arial" w:cs="Arial"/>
                <w:sz w:val="24"/>
                <w:szCs w:val="24"/>
              </w:rPr>
            </w:pPr>
            <w:r w:rsidRPr="0015138B">
              <w:rPr>
                <w:rFonts w:ascii="Arial" w:hAnsi="Arial" w:cs="Arial"/>
                <w:sz w:val="24"/>
                <w:szCs w:val="24"/>
              </w:rPr>
              <w:t>23,782</w:t>
            </w:r>
          </w:p>
        </w:tc>
        <w:tc>
          <w:tcPr>
            <w:tcW w:w="2641" w:type="dxa"/>
            <w:tcBorders>
              <w:top w:val="single" w:sz="4" w:space="0" w:color="000000"/>
              <w:left w:val="single" w:sz="4" w:space="0" w:color="000000"/>
              <w:bottom w:val="single" w:sz="4" w:space="0" w:color="000000"/>
              <w:right w:val="single" w:sz="4" w:space="0" w:color="000000"/>
            </w:tcBorders>
            <w:hideMark/>
          </w:tcPr>
          <w:p w:rsidR="006B5E4B" w:rsidRPr="0015138B" w:rsidRDefault="006B5E4B" w:rsidP="009E6771">
            <w:pPr>
              <w:spacing w:after="0" w:line="360" w:lineRule="auto"/>
              <w:jc w:val="both"/>
              <w:rPr>
                <w:rFonts w:ascii="Arial" w:hAnsi="Arial" w:cs="Arial"/>
                <w:sz w:val="24"/>
                <w:szCs w:val="24"/>
              </w:rPr>
            </w:pPr>
            <w:r w:rsidRPr="0015138B">
              <w:rPr>
                <w:rFonts w:ascii="Arial" w:hAnsi="Arial" w:cs="Arial"/>
                <w:sz w:val="24"/>
                <w:szCs w:val="24"/>
              </w:rPr>
              <w:t>18,812</w:t>
            </w:r>
          </w:p>
        </w:tc>
      </w:tr>
    </w:tbl>
    <w:p w:rsidR="006B5E4B" w:rsidRPr="0015138B" w:rsidRDefault="006B5E4B" w:rsidP="006B5E4B">
      <w:pPr>
        <w:spacing w:after="0" w:line="360" w:lineRule="auto"/>
        <w:jc w:val="both"/>
        <w:rPr>
          <w:rFonts w:ascii="Arial" w:hAnsi="Arial" w:cs="Arial"/>
          <w:color w:val="000000"/>
          <w:sz w:val="24"/>
          <w:szCs w:val="24"/>
        </w:rPr>
      </w:pPr>
    </w:p>
    <w:p w:rsidR="006B5E4B" w:rsidRPr="0015138B" w:rsidRDefault="006B5E4B" w:rsidP="006B5E4B">
      <w:pPr>
        <w:pStyle w:val="ListParagraph"/>
        <w:numPr>
          <w:ilvl w:val="0"/>
          <w:numId w:val="1"/>
        </w:numPr>
        <w:spacing w:after="0" w:line="360" w:lineRule="auto"/>
        <w:jc w:val="both"/>
        <w:rPr>
          <w:rFonts w:ascii="Arial" w:hAnsi="Arial" w:cs="Arial"/>
          <w:color w:val="000000"/>
          <w:sz w:val="24"/>
          <w:szCs w:val="24"/>
        </w:rPr>
      </w:pPr>
      <w:r w:rsidRPr="0015138B">
        <w:rPr>
          <w:rFonts w:ascii="Arial" w:hAnsi="Arial" w:cs="Arial"/>
          <w:color w:val="000000"/>
          <w:sz w:val="24"/>
          <w:szCs w:val="24"/>
          <w:u w:val="single"/>
        </w:rPr>
        <w:t>Reduction in Pendency through / follow up by Arrears Committees</w:t>
      </w:r>
      <w:r w:rsidRPr="0015138B">
        <w:rPr>
          <w:rFonts w:ascii="Arial" w:hAnsi="Arial" w:cs="Arial"/>
          <w:color w:val="000000"/>
          <w:sz w:val="24"/>
          <w:szCs w:val="24"/>
        </w:rPr>
        <w:t>: In pursuance of resolution passed in Chief Justices’ Conference held in April, 2015, Arrears Committees have been set up in High Courts to clear cases pending for more than five years. Arrears Committees have been set up under District Judges too.  Arrears Committee has been constituted in the Supreme Court to formulate steps to reduce pendency of cases in High Courts and District Courts.</w:t>
      </w:r>
    </w:p>
    <w:p w:rsidR="006B5E4B" w:rsidRPr="0015138B" w:rsidRDefault="006B5E4B" w:rsidP="006B5E4B">
      <w:pPr>
        <w:pStyle w:val="ListParagraph"/>
        <w:numPr>
          <w:ilvl w:val="0"/>
          <w:numId w:val="1"/>
        </w:numPr>
        <w:spacing w:after="0" w:line="360" w:lineRule="auto"/>
        <w:jc w:val="both"/>
        <w:rPr>
          <w:rFonts w:ascii="Arial" w:hAnsi="Arial" w:cs="Arial"/>
          <w:color w:val="000000"/>
          <w:sz w:val="24"/>
          <w:szCs w:val="24"/>
        </w:rPr>
      </w:pPr>
      <w:r w:rsidRPr="0015138B">
        <w:rPr>
          <w:rFonts w:ascii="Arial" w:hAnsi="Arial" w:cs="Arial"/>
          <w:color w:val="000000"/>
          <w:sz w:val="24"/>
          <w:szCs w:val="24"/>
          <w:u w:val="single"/>
        </w:rPr>
        <w:t>Emphasis on Alternate Dispute Resolution (ADR)</w:t>
      </w:r>
      <w:r w:rsidRPr="0015138B">
        <w:rPr>
          <w:rFonts w:ascii="Arial" w:hAnsi="Arial" w:cs="Arial"/>
          <w:color w:val="000000"/>
          <w:sz w:val="24"/>
          <w:szCs w:val="24"/>
        </w:rPr>
        <w:t>: Commercial Courts Act, 2015 (as amended on 20</w:t>
      </w:r>
      <w:r w:rsidRPr="0015138B">
        <w:rPr>
          <w:rFonts w:ascii="Arial" w:hAnsi="Arial" w:cs="Arial"/>
          <w:color w:val="000000"/>
          <w:sz w:val="24"/>
          <w:szCs w:val="24"/>
          <w:vertAlign w:val="superscript"/>
        </w:rPr>
        <w:t>th</w:t>
      </w:r>
      <w:r w:rsidRPr="0015138B">
        <w:rPr>
          <w:rFonts w:ascii="Arial" w:hAnsi="Arial" w:cs="Arial"/>
          <w:color w:val="000000"/>
          <w:sz w:val="24"/>
          <w:szCs w:val="24"/>
        </w:rPr>
        <w:t xml:space="preserve"> August, 2018) stipulates mandatory pre-institution mediation and settlement of commercial disputes. Amendment to the Arbitration and Conciliation Act, 1996 has been made by the Arbitration and Conciliation (Amendment) Act 2015 for expediting the speedy resolution of disputes by prescribing timelines.</w:t>
      </w:r>
    </w:p>
    <w:p w:rsidR="006B5E4B" w:rsidRPr="00A455BD" w:rsidRDefault="006B5E4B" w:rsidP="006B5E4B">
      <w:pPr>
        <w:pStyle w:val="ListParagraph"/>
        <w:numPr>
          <w:ilvl w:val="0"/>
          <w:numId w:val="1"/>
        </w:numPr>
        <w:spacing w:after="0" w:line="360" w:lineRule="auto"/>
        <w:jc w:val="both"/>
        <w:rPr>
          <w:rFonts w:ascii="Arial" w:hAnsi="Arial" w:cs="Arial"/>
          <w:color w:val="000000"/>
          <w:sz w:val="24"/>
          <w:szCs w:val="24"/>
        </w:rPr>
      </w:pPr>
      <w:r w:rsidRPr="0015138B">
        <w:rPr>
          <w:rFonts w:ascii="Arial" w:hAnsi="Arial" w:cs="Arial"/>
          <w:color w:val="000000"/>
          <w:sz w:val="24"/>
          <w:szCs w:val="24"/>
          <w:u w:val="single"/>
        </w:rPr>
        <w:t>Initiatives to Fast Track Special Type of Cases</w:t>
      </w:r>
      <w:r w:rsidRPr="0015138B">
        <w:rPr>
          <w:rFonts w:ascii="Arial" w:hAnsi="Arial" w:cs="Arial"/>
          <w:color w:val="000000"/>
          <w:sz w:val="24"/>
          <w:szCs w:val="24"/>
        </w:rPr>
        <w:t xml:space="preserve">: </w:t>
      </w:r>
      <w:r w:rsidRPr="0015138B">
        <w:rPr>
          <w:rFonts w:ascii="Arial" w:hAnsi="Arial" w:cs="Arial"/>
          <w:sz w:val="24"/>
          <w:szCs w:val="24"/>
        </w:rPr>
        <w:t xml:space="preserve">The Fourteenth Finance Commission endorsed the proposal of the Government to strengthen the judicial </w:t>
      </w:r>
      <w:r w:rsidRPr="0015138B">
        <w:rPr>
          <w:rFonts w:ascii="Arial" w:hAnsi="Arial" w:cs="Arial"/>
          <w:sz w:val="24"/>
          <w:szCs w:val="24"/>
        </w:rPr>
        <w:lastRenderedPageBreak/>
        <w:t xml:space="preserve">system in States which included, inter-alia, establishing Fast Track Courts for cases of heinous crimes; cases involving senior citizens, women, children etc., and urged the State Governments to use the additional fiscal space provided in the form of enhanced tax devolution form 32% to 42% to meet such requirements. As on 30.09.2019, 704 Fast Track Courts are functional for heinous crimes, crimes against women and children, family and matrimonial disputes, etc. To fast track criminal cases involving elected MPs / MLAs, ten (10) Special Courts are functional in nine (9) States (1 each in Madhya Pradesh, Maharashtra, Tamil Nadu, Karnataka, Andhra Pradesh, </w:t>
      </w:r>
      <w:proofErr w:type="spellStart"/>
      <w:r w:rsidRPr="0015138B">
        <w:rPr>
          <w:rFonts w:ascii="Arial" w:hAnsi="Arial" w:cs="Arial"/>
          <w:sz w:val="24"/>
          <w:szCs w:val="24"/>
        </w:rPr>
        <w:t>Telangana</w:t>
      </w:r>
      <w:proofErr w:type="spellEnd"/>
      <w:r w:rsidRPr="0015138B">
        <w:rPr>
          <w:rFonts w:ascii="Arial" w:hAnsi="Arial" w:cs="Arial"/>
          <w:sz w:val="24"/>
          <w:szCs w:val="24"/>
        </w:rPr>
        <w:t xml:space="preserve">, Uttar Pradesh, West Bengal and 2 in NCT of Delhi) and proportionate funds have been released to these States by the Government. Further, Government has approved a scheme for setting up 1023 Fast Track Special Courts (FTSCs) across the country for expeditious disposal of pending cases of Rape under IPC and crimes under POCSO Act. As on date, 26 States/UTs have joined the scheme for setting up of 648 FTSCs including 363 exclusive POCSO courts. Rs.99.35 </w:t>
      </w:r>
      <w:proofErr w:type="spellStart"/>
      <w:r w:rsidRPr="0015138B">
        <w:rPr>
          <w:rFonts w:ascii="Arial" w:hAnsi="Arial" w:cs="Arial"/>
          <w:sz w:val="24"/>
          <w:szCs w:val="24"/>
        </w:rPr>
        <w:t>crore</w:t>
      </w:r>
      <w:proofErr w:type="spellEnd"/>
      <w:r w:rsidRPr="0015138B">
        <w:rPr>
          <w:rFonts w:ascii="Arial" w:hAnsi="Arial" w:cs="Arial"/>
          <w:sz w:val="24"/>
          <w:szCs w:val="24"/>
        </w:rPr>
        <w:t xml:space="preserve"> (out of the total allocation of Rs.100 </w:t>
      </w:r>
      <w:proofErr w:type="spellStart"/>
      <w:r w:rsidRPr="0015138B">
        <w:rPr>
          <w:rFonts w:ascii="Arial" w:hAnsi="Arial" w:cs="Arial"/>
          <w:sz w:val="24"/>
          <w:szCs w:val="24"/>
        </w:rPr>
        <w:t>crore</w:t>
      </w:r>
      <w:proofErr w:type="spellEnd"/>
      <w:r w:rsidRPr="0015138B">
        <w:rPr>
          <w:rFonts w:ascii="Arial" w:hAnsi="Arial" w:cs="Arial"/>
          <w:sz w:val="24"/>
          <w:szCs w:val="24"/>
        </w:rPr>
        <w:t>) has already been released as the first installment to these 26 States.</w:t>
      </w:r>
    </w:p>
    <w:p w:rsidR="006B5E4B" w:rsidRPr="0015138B" w:rsidRDefault="006B5E4B" w:rsidP="006B5E4B">
      <w:pPr>
        <w:pStyle w:val="ListParagraph"/>
        <w:spacing w:after="0" w:line="360" w:lineRule="auto"/>
        <w:ind w:left="570"/>
        <w:jc w:val="both"/>
        <w:rPr>
          <w:rFonts w:ascii="Arial" w:hAnsi="Arial" w:cs="Arial"/>
          <w:color w:val="000000"/>
          <w:sz w:val="24"/>
          <w:szCs w:val="24"/>
        </w:rPr>
      </w:pPr>
    </w:p>
    <w:p w:rsidR="006B5E4B" w:rsidRPr="0015138B" w:rsidRDefault="006B5E4B" w:rsidP="006B5E4B">
      <w:pPr>
        <w:rPr>
          <w:rFonts w:ascii="Arial" w:hAnsi="Arial" w:cs="Arial"/>
          <w:sz w:val="24"/>
          <w:szCs w:val="24"/>
        </w:rPr>
      </w:pPr>
      <w:r>
        <w:rPr>
          <w:rFonts w:ascii="Arial" w:hAnsi="Arial" w:cs="Arial"/>
          <w:sz w:val="24"/>
          <w:szCs w:val="24"/>
        </w:rPr>
        <w:t xml:space="preserve">(c):  Does not arise in view of (a) and (b) above. </w:t>
      </w:r>
    </w:p>
    <w:p w:rsidR="006B5E4B" w:rsidRDefault="006B5E4B" w:rsidP="006B5E4B">
      <w:pPr>
        <w:spacing w:after="0" w:line="360" w:lineRule="auto"/>
        <w:jc w:val="both"/>
        <w:rPr>
          <w:rFonts w:ascii="Arial" w:hAnsi="Arial" w:cs="Arial"/>
          <w:sz w:val="24"/>
          <w:szCs w:val="24"/>
        </w:rPr>
      </w:pPr>
      <w:r w:rsidRPr="0015138B">
        <w:rPr>
          <w:rFonts w:ascii="Arial" w:hAnsi="Arial" w:cs="Arial"/>
          <w:sz w:val="24"/>
          <w:szCs w:val="24"/>
        </w:rPr>
        <w:t>(d): Pursuant to the Joint Conference of the Chief Ministers of the States and Chief Justices of the High Courts in 2015 it was resolved that all High Courts would constitute an Arrears Committee. The then Minister of Law and Justice had written to the Chief Justices of High Courts requesting them to apprise the Government of the steps being taken by them to address the issue of pendency especially regarding cases pending for more than 5 years.  As per available information, all the High Courts and District &amp; Subordinate Courts have established Arrears Committees.  Arrears Committee has also been established in the Supreme Court of India.</w:t>
      </w:r>
    </w:p>
    <w:p w:rsidR="006B5E4B" w:rsidRPr="0015138B" w:rsidRDefault="006B5E4B" w:rsidP="006B5E4B">
      <w:pPr>
        <w:spacing w:after="0" w:line="360" w:lineRule="auto"/>
        <w:jc w:val="both"/>
        <w:rPr>
          <w:rFonts w:ascii="Arial" w:hAnsi="Arial" w:cs="Arial"/>
          <w:sz w:val="24"/>
          <w:szCs w:val="24"/>
        </w:rPr>
      </w:pPr>
      <w:r>
        <w:rPr>
          <w:rFonts w:ascii="Arial" w:hAnsi="Arial" w:cs="Arial"/>
          <w:sz w:val="24"/>
          <w:szCs w:val="24"/>
        </w:rPr>
        <w:t xml:space="preserve">                                                              ******</w:t>
      </w:r>
    </w:p>
    <w:p w:rsidR="006B5E4B" w:rsidRPr="0015138B" w:rsidRDefault="006B5E4B" w:rsidP="006B5E4B">
      <w:pPr>
        <w:rPr>
          <w:rFonts w:ascii="Arial" w:hAnsi="Arial" w:cs="Arial"/>
          <w:sz w:val="24"/>
          <w:szCs w:val="24"/>
        </w:rPr>
      </w:pPr>
    </w:p>
    <w:p w:rsidR="00E17D8C" w:rsidRDefault="00E17D8C"/>
    <w:sectPr w:rsidR="00E17D8C" w:rsidSect="0072046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B871D6"/>
    <w:multiLevelType w:val="hybridMultilevel"/>
    <w:tmpl w:val="63926678"/>
    <w:lvl w:ilvl="0" w:tplc="773EE8DE">
      <w:start w:val="1"/>
      <w:numFmt w:val="lowerLetter"/>
      <w:lvlText w:val="(%1)"/>
      <w:lvlJc w:val="left"/>
      <w:pPr>
        <w:ind w:left="570" w:hanging="3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B5E4B"/>
    <w:rsid w:val="006B5E4B"/>
    <w:rsid w:val="00E17D8C"/>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6B5E4B"/>
    <w:rPr>
      <w:rFonts w:ascii="Times New Roman" w:hAnsi="Times New Roman" w:cs="Times New Roman"/>
      <w:szCs w:val="22"/>
      <w:lang w:bidi="ar-SA"/>
    </w:rPr>
  </w:style>
  <w:style w:type="paragraph" w:styleId="NoSpacing">
    <w:name w:val="No Spacing"/>
    <w:link w:val="NoSpacingChar"/>
    <w:uiPriority w:val="1"/>
    <w:qFormat/>
    <w:rsid w:val="006B5E4B"/>
    <w:pPr>
      <w:spacing w:after="0" w:line="240" w:lineRule="auto"/>
    </w:pPr>
    <w:rPr>
      <w:rFonts w:ascii="Times New Roman" w:hAnsi="Times New Roman" w:cs="Times New Roman"/>
      <w:szCs w:val="22"/>
      <w:lang w:bidi="ar-SA"/>
    </w:rPr>
  </w:style>
  <w:style w:type="character" w:customStyle="1" w:styleId="ListParagraphChar">
    <w:name w:val="List Paragraph Char"/>
    <w:aliases w:val="Citation List Char,Heading 41 Char,Report Para Char,Heading 411 Char,Heading 4111 Char,Graphic Char,List Paragraph1 Char,normal Char,Paragraph Char,First level bullet Char,heading 4 Char,Resume Title Char,Bullet List Char,列出段落 Char"/>
    <w:link w:val="ListParagraph"/>
    <w:uiPriority w:val="34"/>
    <w:locked/>
    <w:rsid w:val="006B5E4B"/>
  </w:style>
  <w:style w:type="paragraph" w:styleId="ListParagraph">
    <w:name w:val="List Paragraph"/>
    <w:aliases w:val="Citation List,Heading 41,Report Para,Heading 411,Heading 4111,Graphic,List Paragraph1,normal,Paragraph,First level bullet,heading 4,Resume Title,Bullet List,FooterText,numbered,Paragraphe de liste1,Bulletr List Paragraph,列出段落,列出段落1,リスト段落1"/>
    <w:basedOn w:val="Normal"/>
    <w:link w:val="ListParagraphChar"/>
    <w:uiPriority w:val="34"/>
    <w:qFormat/>
    <w:rsid w:val="006B5E4B"/>
    <w:pPr>
      <w:ind w:left="720"/>
      <w:contextualSpacing/>
    </w:pPr>
    <w:rPr>
      <w:rFonts w:cstheme="minorBid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1178</Words>
  <Characters>6717</Characters>
  <Application>Microsoft Office Word</Application>
  <DocSecurity>0</DocSecurity>
  <Lines>55</Lines>
  <Paragraphs>15</Paragraphs>
  <ScaleCrop>false</ScaleCrop>
  <Company>Hewlett-Packard Company</Company>
  <LinksUpToDate>false</LinksUpToDate>
  <CharactersWithSpaces>7880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Hewlett-Packard Company</cp:lastModifiedBy>
  <cp:revision>2</cp:revision>
  <dcterms:created xsi:type="dcterms:W3CDTF">2020-02-04T11:16:00Z</dcterms:created>
  <dcterms:modified xsi:type="dcterms:W3CDTF">2020-02-04T11:16:00Z</dcterms:modified>
</cp:coreProperties>
</file>