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50" w:rsidRPr="00EF31CE" w:rsidRDefault="007A3850" w:rsidP="007A38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31CE">
        <w:rPr>
          <w:rFonts w:ascii="Times New Roman" w:hAnsi="Times New Roman" w:cs="Times New Roman"/>
          <w:sz w:val="24"/>
          <w:szCs w:val="24"/>
          <w:lang w:val="af-ZA"/>
        </w:rPr>
        <w:t>G</w:t>
      </w:r>
      <w:r w:rsidRPr="00EF31CE">
        <w:rPr>
          <w:rFonts w:ascii="Times New Roman" w:hAnsi="Times New Roman"/>
          <w:sz w:val="24"/>
          <w:szCs w:val="24"/>
        </w:rPr>
        <w:t>OVERNME</w:t>
      </w:r>
      <w:r w:rsidRPr="00EF31CE">
        <w:rPr>
          <w:rFonts w:ascii="Times New Roman" w:hAnsi="Times New Roman" w:cs="Times New Roman"/>
          <w:sz w:val="24"/>
          <w:szCs w:val="24"/>
        </w:rPr>
        <w:t>NT OF INDIA</w:t>
      </w:r>
    </w:p>
    <w:p w:rsidR="007A3850" w:rsidRPr="00EF31CE" w:rsidRDefault="007A3850" w:rsidP="007A3850">
      <w:pPr>
        <w:spacing w:line="240" w:lineRule="auto"/>
        <w:ind w:right="-15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31CE">
        <w:rPr>
          <w:rFonts w:ascii="Times New Roman" w:hAnsi="Times New Roman" w:cs="Times New Roman"/>
          <w:sz w:val="24"/>
          <w:szCs w:val="24"/>
        </w:rPr>
        <w:t>MINISTRY OF COMMERCE &amp; INDUSTRY</w:t>
      </w:r>
    </w:p>
    <w:p w:rsidR="007A3850" w:rsidRPr="00EF31CE" w:rsidRDefault="007A3850" w:rsidP="007A3850">
      <w:pPr>
        <w:spacing w:line="240" w:lineRule="auto"/>
        <w:ind w:right="-15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31CE">
        <w:rPr>
          <w:rFonts w:ascii="Times New Roman" w:hAnsi="Times New Roman" w:cs="Times New Roman"/>
          <w:sz w:val="24"/>
          <w:szCs w:val="24"/>
        </w:rPr>
        <w:t>(DEPARTMENT OF COMMERCE)</w:t>
      </w:r>
    </w:p>
    <w:p w:rsidR="007A3850" w:rsidRPr="00EF31CE" w:rsidRDefault="007A3850" w:rsidP="007A3850">
      <w:pPr>
        <w:pStyle w:val="Heading1"/>
        <w:ind w:right="-158"/>
        <w:contextualSpacing/>
        <w:rPr>
          <w:rFonts w:cs="Times New Roman"/>
          <w:sz w:val="24"/>
          <w:szCs w:val="24"/>
        </w:rPr>
      </w:pPr>
      <w:r w:rsidRPr="00EF31CE">
        <w:rPr>
          <w:rFonts w:cs="Times New Roman"/>
          <w:sz w:val="24"/>
          <w:szCs w:val="24"/>
        </w:rPr>
        <w:t>RAJYA SABHA</w:t>
      </w:r>
    </w:p>
    <w:p w:rsidR="007A3850" w:rsidRPr="00EF31CE" w:rsidRDefault="007A3850" w:rsidP="007A3850">
      <w:pPr>
        <w:spacing w:line="240" w:lineRule="auto"/>
        <w:ind w:right="-15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CE">
        <w:rPr>
          <w:rFonts w:ascii="Times New Roman" w:hAnsi="Times New Roman" w:cs="Times New Roman"/>
          <w:b/>
          <w:sz w:val="24"/>
          <w:szCs w:val="24"/>
        </w:rPr>
        <w:t xml:space="preserve">UNSTARRED QUESTION NO. </w:t>
      </w:r>
      <w:r w:rsidR="002E3E4A" w:rsidRPr="00EF31CE">
        <w:rPr>
          <w:rFonts w:ascii="Times New Roman" w:hAnsi="Times New Roman" w:cs="Times New Roman"/>
          <w:b/>
          <w:sz w:val="24"/>
          <w:szCs w:val="24"/>
        </w:rPr>
        <w:t>2561</w:t>
      </w:r>
    </w:p>
    <w:p w:rsidR="007A3850" w:rsidRPr="00EF31CE" w:rsidRDefault="007A3850" w:rsidP="007A3850">
      <w:pPr>
        <w:spacing w:line="240" w:lineRule="auto"/>
        <w:ind w:right="-15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CE">
        <w:rPr>
          <w:rFonts w:ascii="Times New Roman" w:hAnsi="Times New Roman" w:cs="Times New Roman"/>
          <w:b/>
          <w:sz w:val="24"/>
          <w:szCs w:val="24"/>
        </w:rPr>
        <w:t xml:space="preserve">TO BE ANSWERED ON </w:t>
      </w:r>
      <w:r w:rsidR="00172FDC" w:rsidRPr="00EF31CE">
        <w:rPr>
          <w:rFonts w:ascii="Times New Roman" w:hAnsi="Times New Roman" w:cs="Times New Roman"/>
          <w:b/>
          <w:sz w:val="24"/>
          <w:szCs w:val="24"/>
        </w:rPr>
        <w:t>12</w:t>
      </w:r>
      <w:r w:rsidRPr="00EF31C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1CE">
        <w:rPr>
          <w:rFonts w:ascii="Times New Roman" w:hAnsi="Times New Roman" w:cs="Times New Roman"/>
          <w:b/>
          <w:sz w:val="24"/>
          <w:szCs w:val="24"/>
        </w:rPr>
        <w:t xml:space="preserve"> AUGUST, 2015</w:t>
      </w:r>
    </w:p>
    <w:p w:rsidR="007A3850" w:rsidRPr="00EF31CE" w:rsidRDefault="007A3850" w:rsidP="007A3850">
      <w:pPr>
        <w:ind w:right="-164"/>
        <w:jc w:val="center"/>
        <w:rPr>
          <w:rFonts w:ascii="Times New Roman" w:hAnsi="Times New Roman" w:cs="Times New Roman"/>
          <w:sz w:val="4"/>
          <w:szCs w:val="4"/>
        </w:rPr>
      </w:pPr>
    </w:p>
    <w:p w:rsidR="00B35F92" w:rsidRPr="00EF31CE" w:rsidRDefault="00B35F92" w:rsidP="00B35F9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en-IN" w:bidi="hi-IN"/>
        </w:rPr>
      </w:pPr>
      <w:r w:rsidRPr="00EF31CE">
        <w:rPr>
          <w:rFonts w:ascii="Times-Bold" w:hAnsi="Times-Bold" w:cs="Times-Bold"/>
          <w:b/>
          <w:bCs/>
          <w:sz w:val="24"/>
          <w:szCs w:val="24"/>
          <w:lang w:val="en-IN" w:bidi="hi-IN"/>
        </w:rPr>
        <w:t>SETTING UP OF 11 SPICE DEVELOPMENT BOARDS</w:t>
      </w:r>
    </w:p>
    <w:p w:rsidR="00B35F92" w:rsidRPr="00EF31CE" w:rsidRDefault="00B35F92" w:rsidP="00B35F9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IN" w:bidi="hi-IN"/>
        </w:rPr>
      </w:pPr>
    </w:p>
    <w:p w:rsidR="00B35F92" w:rsidRPr="00EF31CE" w:rsidRDefault="00B35F92" w:rsidP="00B35F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val="en-IN" w:bidi="hi-IN"/>
        </w:rPr>
      </w:pPr>
      <w:r w:rsidRPr="00EF31CE">
        <w:rPr>
          <w:rFonts w:ascii="Times-Roman" w:hAnsi="Times-Roman" w:cs="Times-Roman"/>
          <w:b/>
          <w:bCs/>
          <w:sz w:val="24"/>
          <w:szCs w:val="24"/>
          <w:lang w:val="en-IN" w:bidi="hi-IN"/>
        </w:rPr>
        <w:t xml:space="preserve">2561. SHRI T. RATHINAVEL: </w:t>
      </w:r>
    </w:p>
    <w:p w:rsidR="00B35F92" w:rsidRPr="00EF31CE" w:rsidRDefault="00B35F92" w:rsidP="00B35F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IN" w:bidi="hi-IN"/>
        </w:rPr>
      </w:pPr>
    </w:p>
    <w:p w:rsidR="00B35F92" w:rsidRPr="00EF31CE" w:rsidRDefault="00B35F92" w:rsidP="00B35F92">
      <w:pPr>
        <w:autoSpaceDE w:val="0"/>
        <w:autoSpaceDN w:val="0"/>
        <w:adjustRightInd w:val="0"/>
        <w:spacing w:after="0" w:line="240" w:lineRule="auto"/>
        <w:ind w:firstLine="567"/>
        <w:rPr>
          <w:rFonts w:ascii="Times-Roman" w:hAnsi="Times-Roman" w:cs="Times-Roman"/>
          <w:sz w:val="24"/>
          <w:szCs w:val="24"/>
          <w:lang w:val="en-IN" w:bidi="hi-IN"/>
        </w:rPr>
      </w:pPr>
      <w:r w:rsidRPr="00EF31CE">
        <w:rPr>
          <w:rFonts w:ascii="Times-Roman" w:hAnsi="Times-Roman" w:cs="Times-Roman"/>
          <w:sz w:val="24"/>
          <w:szCs w:val="24"/>
          <w:lang w:val="en-IN" w:bidi="hi-IN"/>
        </w:rPr>
        <w:t xml:space="preserve">Will the Minister of COMMERCE AND INDUSTRY be pleased to </w:t>
      </w:r>
      <w:proofErr w:type="gramStart"/>
      <w:r w:rsidRPr="00EF31CE">
        <w:rPr>
          <w:rFonts w:ascii="Times-Roman" w:hAnsi="Times-Roman" w:cs="Times-Roman"/>
          <w:sz w:val="24"/>
          <w:szCs w:val="24"/>
          <w:lang w:val="en-IN" w:bidi="hi-IN"/>
        </w:rPr>
        <w:t>state:</w:t>
      </w:r>
      <w:proofErr w:type="gramEnd"/>
    </w:p>
    <w:p w:rsidR="00B35F92" w:rsidRPr="00EF31CE" w:rsidRDefault="00B35F92" w:rsidP="00B35F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IN" w:bidi="hi-IN"/>
        </w:rPr>
      </w:pPr>
    </w:p>
    <w:p w:rsidR="00B35F92" w:rsidRPr="00EF31CE" w:rsidRDefault="00B35F92" w:rsidP="00EF31C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Times-Roman" w:hAnsi="Times-Roman" w:cs="Times-Roman"/>
          <w:sz w:val="24"/>
          <w:szCs w:val="24"/>
          <w:lang w:bidi="hi-IN"/>
        </w:rPr>
      </w:pPr>
      <w:r w:rsidRPr="00EF31CE">
        <w:rPr>
          <w:rFonts w:ascii="Times-Roman" w:hAnsi="Times-Roman" w:cs="Times-Roman"/>
          <w:sz w:val="24"/>
          <w:szCs w:val="24"/>
          <w:lang w:bidi="hi-IN"/>
        </w:rPr>
        <w:t>whether it is a fact that Government is considering to set up 11 Spice Development Boards for the purpose of promotion of exports of these commodities, if so, the details thereof; and</w:t>
      </w:r>
    </w:p>
    <w:p w:rsidR="00B35F92" w:rsidRPr="00EF31CE" w:rsidRDefault="00B35F92" w:rsidP="00EF31C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Times-Roman" w:hAnsi="Times-Roman" w:cs="Times-Roman"/>
          <w:sz w:val="24"/>
          <w:szCs w:val="24"/>
          <w:lang w:bidi="hi-IN"/>
        </w:rPr>
      </w:pPr>
      <w:r w:rsidRPr="00EF31CE">
        <w:rPr>
          <w:rFonts w:ascii="Times-Roman" w:hAnsi="Times-Roman" w:cs="Times-Roman"/>
          <w:sz w:val="24"/>
          <w:szCs w:val="24"/>
          <w:lang w:bidi="hi-IN"/>
        </w:rPr>
        <w:t>whether during 2014-15, export of spices added up to just below US 2 billion dollars in India's total exports basket of over US 310 billion dollars and if so, the details thereof?</w:t>
      </w:r>
    </w:p>
    <w:p w:rsidR="00172FDC" w:rsidRPr="00EF31CE" w:rsidRDefault="00172FDC" w:rsidP="007A3850">
      <w:pPr>
        <w:ind w:right="-164"/>
        <w:jc w:val="center"/>
        <w:rPr>
          <w:rFonts w:ascii="Times New Roman" w:hAnsi="Times New Roman" w:cs="Times New Roman"/>
          <w:sz w:val="4"/>
          <w:szCs w:val="4"/>
        </w:rPr>
      </w:pPr>
    </w:p>
    <w:p w:rsidR="007A3850" w:rsidRPr="00EF31CE" w:rsidRDefault="007A3850" w:rsidP="007A3850">
      <w:pPr>
        <w:ind w:right="-164"/>
        <w:jc w:val="center"/>
        <w:rPr>
          <w:rFonts w:ascii="Times New Roman" w:hAnsi="Times New Roman" w:cs="Times New Roman"/>
          <w:sz w:val="4"/>
          <w:szCs w:val="4"/>
        </w:rPr>
      </w:pPr>
    </w:p>
    <w:p w:rsidR="007A3850" w:rsidRPr="00EF31CE" w:rsidRDefault="007A3850" w:rsidP="007A3850">
      <w:pPr>
        <w:spacing w:line="240" w:lineRule="auto"/>
        <w:ind w:right="-164"/>
        <w:contextualSpacing/>
        <w:jc w:val="center"/>
        <w:rPr>
          <w:rFonts w:cs="Times New Roman"/>
        </w:rPr>
      </w:pPr>
      <w:r w:rsidRPr="00EF31CE">
        <w:rPr>
          <w:rFonts w:ascii="Times New Roman" w:hAnsi="Times New Roman" w:cs="Times New Roman"/>
          <w:b/>
          <w:bCs/>
          <w:sz w:val="24"/>
          <w:szCs w:val="24"/>
        </w:rPr>
        <w:t>ANSWER</w:t>
      </w:r>
    </w:p>
    <w:p w:rsidR="007A3850" w:rsidRPr="00EF31CE" w:rsidRDefault="007A3850" w:rsidP="00172FDC">
      <w:pPr>
        <w:spacing w:line="240" w:lineRule="auto"/>
        <w:ind w:right="-421" w:hanging="851"/>
        <w:contextualSpacing/>
        <w:jc w:val="center"/>
        <w:rPr>
          <w:rFonts w:ascii="Times New Roman" w:hAnsi="Times New Roman" w:cs="Times New Roman"/>
          <w:sz w:val="24"/>
          <w:szCs w:val="24"/>
          <w:lang w:val="af-ZA"/>
        </w:rPr>
      </w:pPr>
      <w:r w:rsidRPr="00EF31CE">
        <w:rPr>
          <w:rFonts w:ascii="Times New Roman" w:hAnsi="Times New Roman" w:cs="Times New Roman"/>
          <w:sz w:val="24"/>
          <w:szCs w:val="24"/>
          <w:lang w:val="af-ZA"/>
        </w:rPr>
        <w:t>THE MINISTER OF STATE IN THE MINISTRY OF COMMERCE AND INDUSTRY</w:t>
      </w:r>
    </w:p>
    <w:p w:rsidR="007A3850" w:rsidRPr="00EF31CE" w:rsidRDefault="007A3850" w:rsidP="00172FDC">
      <w:pPr>
        <w:spacing w:line="240" w:lineRule="auto"/>
        <w:ind w:right="-421" w:hanging="851"/>
        <w:contextualSpacing/>
        <w:jc w:val="center"/>
        <w:rPr>
          <w:rFonts w:ascii="Times New Roman" w:hAnsi="Times New Roman" w:cs="Times New Roman"/>
          <w:sz w:val="24"/>
          <w:szCs w:val="24"/>
          <w:lang w:val="af-ZA"/>
        </w:rPr>
      </w:pPr>
      <w:r w:rsidRPr="00EF31CE">
        <w:rPr>
          <w:rFonts w:ascii="Times New Roman" w:hAnsi="Times New Roman" w:cs="Times New Roman"/>
          <w:sz w:val="24"/>
          <w:szCs w:val="24"/>
          <w:lang w:val="af-ZA"/>
        </w:rPr>
        <w:t>(INDEPENDENT CHARGE) (SMT. NIRMALA SITHARAMAN)</w:t>
      </w:r>
    </w:p>
    <w:p w:rsidR="00C4052F" w:rsidRPr="00897BF7" w:rsidRDefault="00897BF7" w:rsidP="00897BF7">
      <w:pPr>
        <w:pStyle w:val="NormalWeb"/>
        <w:jc w:val="both"/>
      </w:pPr>
      <w:r w:rsidRPr="00897BF7">
        <w:rPr>
          <w:color w:val="000000"/>
        </w:rPr>
        <w:t xml:space="preserve">(a) Government </w:t>
      </w:r>
      <w:r w:rsidR="00C4052F" w:rsidRPr="00897BF7">
        <w:rPr>
          <w:color w:val="000000"/>
        </w:rPr>
        <w:t>of India has recently notified eleven Spice Development Agencies (SDA) in major spice growing States/Region</w:t>
      </w:r>
      <w:r w:rsidRPr="00897BF7">
        <w:rPr>
          <w:color w:val="000000"/>
        </w:rPr>
        <w:t>s</w:t>
      </w:r>
      <w:r w:rsidR="00C4052F" w:rsidRPr="00897BF7">
        <w:rPr>
          <w:color w:val="000000"/>
        </w:rPr>
        <w:t xml:space="preserve"> of the country. Details of the SDAs are given in </w:t>
      </w:r>
      <w:r w:rsidRPr="00897BF7">
        <w:rPr>
          <w:color w:val="000000"/>
        </w:rPr>
        <w:t xml:space="preserve">     </w:t>
      </w:r>
      <w:r w:rsidR="00C4052F" w:rsidRPr="00897BF7">
        <w:rPr>
          <w:color w:val="000000"/>
        </w:rPr>
        <w:t>Annexure I. SDAs have the mandate to formulate programmes for addressin</w:t>
      </w:r>
      <w:r w:rsidRPr="00897BF7">
        <w:rPr>
          <w:color w:val="000000"/>
        </w:rPr>
        <w:t xml:space="preserve">g issues related to </w:t>
      </w:r>
      <w:r w:rsidR="00C4052F" w:rsidRPr="00897BF7">
        <w:rPr>
          <w:color w:val="000000"/>
        </w:rPr>
        <w:t xml:space="preserve">production, quality, domestic marketing and export of spices in the region. </w:t>
      </w:r>
    </w:p>
    <w:p w:rsidR="00C4052F" w:rsidRPr="00897BF7" w:rsidRDefault="00C4052F" w:rsidP="00897BF7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7BF7">
        <w:rPr>
          <w:rFonts w:ascii="Times New Roman" w:hAnsi="Times New Roman" w:cs="Times New Roman"/>
          <w:bCs/>
          <w:iCs/>
          <w:sz w:val="24"/>
          <w:szCs w:val="24"/>
        </w:rPr>
        <w:t xml:space="preserve">(b): </w:t>
      </w:r>
      <w:r w:rsidRPr="00897BF7">
        <w:rPr>
          <w:rFonts w:ascii="Times New Roman" w:hAnsi="Times New Roman" w:cs="Times New Roman"/>
          <w:sz w:val="24"/>
          <w:szCs w:val="24"/>
        </w:rPr>
        <w:t xml:space="preserve"> </w:t>
      </w:r>
      <w:r w:rsidRPr="00897BF7">
        <w:rPr>
          <w:rFonts w:ascii="Times New Roman" w:hAnsi="Times New Roman" w:cs="Times New Roman"/>
          <w:color w:val="000000"/>
          <w:sz w:val="24"/>
          <w:szCs w:val="24"/>
        </w:rPr>
        <w:t xml:space="preserve">The export of Spices from India during 2014-15 was valued </w:t>
      </w:r>
      <w:r w:rsidR="00897BF7" w:rsidRPr="00897BF7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897BF7">
        <w:rPr>
          <w:rFonts w:ascii="Times New Roman" w:hAnsi="Times New Roman" w:cs="Times New Roman"/>
          <w:color w:val="000000"/>
          <w:sz w:val="24"/>
          <w:szCs w:val="24"/>
        </w:rPr>
        <w:t>around US$ 2.43 billion. The major item-wise export of spices from India is given at Annexure II.</w:t>
      </w:r>
    </w:p>
    <w:p w:rsidR="00C4052F" w:rsidRDefault="00C4052F" w:rsidP="00C4052F">
      <w:pPr>
        <w:ind w:left="567" w:hanging="567"/>
        <w:jc w:val="center"/>
        <w:rPr>
          <w:bCs/>
        </w:rPr>
      </w:pPr>
    </w:p>
    <w:p w:rsidR="00C4052F" w:rsidRDefault="00C4052F" w:rsidP="00C4052F">
      <w:pPr>
        <w:ind w:left="567" w:hanging="567"/>
        <w:jc w:val="center"/>
        <w:rPr>
          <w:bCs/>
        </w:rPr>
      </w:pPr>
    </w:p>
    <w:p w:rsidR="00C4052F" w:rsidRPr="006C0172" w:rsidRDefault="00C4052F" w:rsidP="00C4052F">
      <w:pPr>
        <w:ind w:left="567" w:hanging="567"/>
        <w:jc w:val="center"/>
        <w:rPr>
          <w:bCs/>
        </w:rPr>
      </w:pPr>
      <w:r w:rsidRPr="006C0172">
        <w:rPr>
          <w:bCs/>
        </w:rPr>
        <w:t>********</w:t>
      </w:r>
    </w:p>
    <w:p w:rsidR="00C4052F" w:rsidRPr="006C0172" w:rsidRDefault="00C4052F" w:rsidP="00C4052F">
      <w:pPr>
        <w:jc w:val="center"/>
        <w:rPr>
          <w:bCs/>
        </w:rPr>
      </w:pPr>
      <w:r w:rsidRPr="006C0172">
        <w:rPr>
          <w:bCs/>
        </w:rPr>
        <w:br w:type="page"/>
      </w:r>
    </w:p>
    <w:p w:rsidR="00C4052F" w:rsidRPr="00686CF4" w:rsidRDefault="00C4052F" w:rsidP="00C4052F">
      <w:pPr>
        <w:jc w:val="right"/>
        <w:rPr>
          <w:b/>
          <w:u w:val="single"/>
        </w:rPr>
      </w:pPr>
      <w:r w:rsidRPr="00686CF4">
        <w:rPr>
          <w:b/>
          <w:u w:val="single"/>
        </w:rPr>
        <w:lastRenderedPageBreak/>
        <w:t>Annex I</w:t>
      </w:r>
    </w:p>
    <w:p w:rsidR="00C4052F" w:rsidRPr="00686CF4" w:rsidRDefault="00C4052F" w:rsidP="00C4052F">
      <w:pPr>
        <w:jc w:val="center"/>
        <w:rPr>
          <w:b/>
          <w:u w:val="single"/>
        </w:rPr>
      </w:pPr>
      <w:r w:rsidRPr="00686CF4">
        <w:rPr>
          <w:b/>
          <w:u w:val="single"/>
        </w:rPr>
        <w:t>Details of Spice Development Agencies (SDAs)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50"/>
        <w:gridCol w:w="1369"/>
        <w:gridCol w:w="1843"/>
        <w:gridCol w:w="1871"/>
        <w:gridCol w:w="2093"/>
      </w:tblGrid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jc w:val="center"/>
              <w:rPr>
                <w:lang w:eastAsia="ar-SA"/>
              </w:rPr>
            </w:pPr>
            <w:r w:rsidRPr="002C4D9E">
              <w:br w:type="page"/>
            </w:r>
            <w:proofErr w:type="spellStart"/>
            <w:r w:rsidRPr="00E24E52">
              <w:rPr>
                <w:lang w:eastAsia="ar-SA"/>
              </w:rPr>
              <w:t>Sl</w:t>
            </w:r>
            <w:proofErr w:type="spellEnd"/>
            <w:r w:rsidRPr="00E24E52">
              <w:rPr>
                <w:lang w:eastAsia="ar-SA"/>
              </w:rPr>
              <w:t xml:space="preserve"> No</w:t>
            </w: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State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Location</w:t>
            </w:r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Name of the Agency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Spices</w:t>
            </w:r>
          </w:p>
        </w:tc>
        <w:tc>
          <w:tcPr>
            <w:tcW w:w="2093" w:type="dxa"/>
          </w:tcPr>
          <w:p w:rsidR="00C4052F" w:rsidRPr="00E24E52" w:rsidRDefault="00C4052F" w:rsidP="00E315A4">
            <w:pPr>
              <w:suppressAutoHyphens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Regions/ States covered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1</w:t>
            </w:r>
          </w:p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ind w:hanging="68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Andhra Pradesh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Guntur</w:t>
            </w:r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Guntur SDA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2C4D9E">
              <w:t>Chilli</w:t>
            </w:r>
            <w:proofErr w:type="spellEnd"/>
            <w:r w:rsidRPr="002C4D9E">
              <w:t>, Turmeric, Tamarind, Pepper, Curry Leaf</w:t>
            </w:r>
          </w:p>
        </w:tc>
        <w:tc>
          <w:tcPr>
            <w:tcW w:w="2093" w:type="dxa"/>
          </w:tcPr>
          <w:p w:rsidR="00C4052F" w:rsidRPr="002C4D9E" w:rsidRDefault="00C4052F" w:rsidP="00E315A4">
            <w:pPr>
              <w:suppressAutoHyphens/>
              <w:jc w:val="both"/>
            </w:pPr>
            <w:r w:rsidRPr="002C4D9E">
              <w:t>Andhra Pradesh and other spice growing districts in surrounding region as notified by the Spices Board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2</w:t>
            </w:r>
          </w:p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Tamil Nadu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Erode</w:t>
            </w:r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Erode SDA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2C4D9E">
              <w:t xml:space="preserve">Turmeric, </w:t>
            </w:r>
            <w:proofErr w:type="spellStart"/>
            <w:r w:rsidRPr="002C4D9E">
              <w:t>Chilli</w:t>
            </w:r>
            <w:proofErr w:type="spellEnd"/>
            <w:r w:rsidRPr="002C4D9E">
              <w:t xml:space="preserve">, Pepper, small cardamom, Curry Leaf, Tamarind, Herbal Spices, Clove, Nutmeg, Coriander </w:t>
            </w:r>
          </w:p>
        </w:tc>
        <w:tc>
          <w:tcPr>
            <w:tcW w:w="2093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2C4D9E">
              <w:t>Tamilnadu</w:t>
            </w:r>
            <w:proofErr w:type="spellEnd"/>
            <w:r w:rsidRPr="002C4D9E">
              <w:t xml:space="preserve"> and other spice growing districts in surrounding region as notified by the Spices Board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3</w:t>
            </w:r>
          </w:p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Karnataka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proofErr w:type="spellStart"/>
            <w:r w:rsidRPr="00E24E52">
              <w:rPr>
                <w:lang w:eastAsia="ar-SA"/>
              </w:rPr>
              <w:t>Haveri</w:t>
            </w:r>
            <w:proofErr w:type="spellEnd"/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proofErr w:type="spellStart"/>
            <w:r w:rsidRPr="00E24E52">
              <w:rPr>
                <w:lang w:eastAsia="ar-SA"/>
              </w:rPr>
              <w:t>Haveri</w:t>
            </w:r>
            <w:proofErr w:type="spellEnd"/>
            <w:r w:rsidRPr="00E24E52">
              <w:rPr>
                <w:lang w:eastAsia="ar-SA"/>
              </w:rPr>
              <w:t xml:space="preserve"> SDA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2C4D9E">
              <w:t xml:space="preserve">Pepper, </w:t>
            </w:r>
            <w:proofErr w:type="spellStart"/>
            <w:r w:rsidRPr="002C4D9E">
              <w:t>Chilli</w:t>
            </w:r>
            <w:proofErr w:type="spellEnd"/>
            <w:r w:rsidRPr="002C4D9E">
              <w:t xml:space="preserve">, Cardamom, Ginger, Turmeric, </w:t>
            </w:r>
            <w:proofErr w:type="spellStart"/>
            <w:r w:rsidRPr="002C4D9E">
              <w:t>Kokam</w:t>
            </w:r>
            <w:proofErr w:type="spellEnd"/>
            <w:r w:rsidRPr="002C4D9E">
              <w:t>, Coriander</w:t>
            </w:r>
          </w:p>
        </w:tc>
        <w:tc>
          <w:tcPr>
            <w:tcW w:w="209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2C4D9E">
              <w:t>Karnataka and other spice growing districts in surrounding region as notified by the Spices Board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4</w:t>
            </w:r>
          </w:p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Maharashtra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Mumbai</w:t>
            </w:r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Mumbai SDA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2C4D9E">
              <w:t xml:space="preserve">Turmeric, </w:t>
            </w:r>
            <w:proofErr w:type="spellStart"/>
            <w:r w:rsidRPr="002C4D9E">
              <w:t>Chilli</w:t>
            </w:r>
            <w:proofErr w:type="spellEnd"/>
            <w:r w:rsidRPr="002C4D9E">
              <w:t xml:space="preserve">, </w:t>
            </w:r>
          </w:p>
        </w:tc>
        <w:tc>
          <w:tcPr>
            <w:tcW w:w="2093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2C4D9E">
              <w:t>Kokam</w:t>
            </w:r>
            <w:proofErr w:type="spellEnd"/>
            <w:r w:rsidRPr="002C4D9E">
              <w:t xml:space="preserve"> Maharashtra and other spice growing districts in surrounding region as notified by the Spices Board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5</w:t>
            </w:r>
          </w:p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Gujarat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proofErr w:type="spellStart"/>
            <w:r w:rsidRPr="00E24E52">
              <w:rPr>
                <w:lang w:eastAsia="ar-SA"/>
              </w:rPr>
              <w:t>Unjha</w:t>
            </w:r>
            <w:proofErr w:type="spellEnd"/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proofErr w:type="spellStart"/>
            <w:r w:rsidRPr="00E24E52">
              <w:rPr>
                <w:lang w:eastAsia="ar-SA"/>
              </w:rPr>
              <w:t>Unjha</w:t>
            </w:r>
            <w:proofErr w:type="spellEnd"/>
            <w:r w:rsidRPr="00E24E52">
              <w:rPr>
                <w:lang w:eastAsia="ar-SA"/>
              </w:rPr>
              <w:t xml:space="preserve"> SDA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2C4D9E">
              <w:t xml:space="preserve">Cumin, Fennel, Coriander, Fenugreek, </w:t>
            </w:r>
            <w:proofErr w:type="spellStart"/>
            <w:r w:rsidRPr="002C4D9E">
              <w:t>Chilli</w:t>
            </w:r>
            <w:proofErr w:type="spellEnd"/>
            <w:r w:rsidRPr="002C4D9E">
              <w:t xml:space="preserve">, Garlic, </w:t>
            </w:r>
            <w:proofErr w:type="spellStart"/>
            <w:r w:rsidRPr="002C4D9E">
              <w:t>Ajowan</w:t>
            </w:r>
            <w:proofErr w:type="spellEnd"/>
            <w:r w:rsidRPr="002C4D9E">
              <w:t xml:space="preserve">, </w:t>
            </w:r>
            <w:proofErr w:type="spellStart"/>
            <w:r w:rsidRPr="002C4D9E">
              <w:t>Dillseed</w:t>
            </w:r>
            <w:proofErr w:type="spellEnd"/>
            <w:r w:rsidRPr="002C4D9E">
              <w:t xml:space="preserve"> </w:t>
            </w:r>
          </w:p>
        </w:tc>
        <w:tc>
          <w:tcPr>
            <w:tcW w:w="2093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2C4D9E">
              <w:t>Gujarat and other spice growing districts in surrounding region as notified by the Spices Board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6</w:t>
            </w:r>
          </w:p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Rajasthan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Jodhpur</w:t>
            </w:r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Jodhpur SDA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2C4D9E">
              <w:t xml:space="preserve">Coriander, Fenugreek, Fennel, Cumin </w:t>
            </w:r>
          </w:p>
        </w:tc>
        <w:tc>
          <w:tcPr>
            <w:tcW w:w="2093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2C4D9E">
              <w:t>Rajasthan and other spice growing districts in surrounding region as notified by the Spices Board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lastRenderedPageBreak/>
              <w:t>7</w:t>
            </w:r>
          </w:p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Uttar Pradesh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proofErr w:type="spellStart"/>
            <w:r w:rsidRPr="00E24E52">
              <w:rPr>
                <w:lang w:eastAsia="ar-SA"/>
              </w:rPr>
              <w:t>Barabanki</w:t>
            </w:r>
            <w:proofErr w:type="spellEnd"/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Uttar Pradesh  SDA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2C4D9E">
              <w:t xml:space="preserve">Mint </w:t>
            </w:r>
          </w:p>
        </w:tc>
        <w:tc>
          <w:tcPr>
            <w:tcW w:w="2093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2C4D9E">
              <w:t>Uttar Pradesh and other spice growing districts in surrounding region as notified by the Spices Board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8</w:t>
            </w:r>
          </w:p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Madhya Pradesh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proofErr w:type="spellStart"/>
            <w:r w:rsidRPr="00E24E52">
              <w:rPr>
                <w:lang w:eastAsia="ar-SA"/>
              </w:rPr>
              <w:t>Guna</w:t>
            </w:r>
            <w:proofErr w:type="spellEnd"/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proofErr w:type="spellStart"/>
            <w:r w:rsidRPr="00E24E52">
              <w:rPr>
                <w:lang w:eastAsia="ar-SA"/>
              </w:rPr>
              <w:t>Guna</w:t>
            </w:r>
            <w:proofErr w:type="spellEnd"/>
            <w:r w:rsidRPr="00E24E52">
              <w:rPr>
                <w:lang w:eastAsia="ar-SA"/>
              </w:rPr>
              <w:t xml:space="preserve"> SDA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r>
              <w:t xml:space="preserve">Garlic, </w:t>
            </w:r>
            <w:r w:rsidRPr="002C4D9E">
              <w:t xml:space="preserve">Coriander </w:t>
            </w:r>
          </w:p>
        </w:tc>
        <w:tc>
          <w:tcPr>
            <w:tcW w:w="209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2C4D9E">
              <w:t>Madhya Pradesh and other spice growing districts in surrounding region as notified by the Spices Board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9</w:t>
            </w:r>
          </w:p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Assam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Guwahati</w:t>
            </w:r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r w:rsidRPr="00E24E52">
              <w:rPr>
                <w:lang w:eastAsia="ar-SA"/>
              </w:rPr>
              <w:t>Guwahati SDA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2C4D9E">
              <w:t xml:space="preserve">Ginger, Pepper, Turmeric, </w:t>
            </w:r>
            <w:proofErr w:type="spellStart"/>
            <w:r w:rsidRPr="002C4D9E">
              <w:t>Chillies</w:t>
            </w:r>
            <w:proofErr w:type="spellEnd"/>
            <w:r w:rsidRPr="002C4D9E">
              <w:t xml:space="preserve">, Large Cardamom, </w:t>
            </w:r>
            <w:proofErr w:type="spellStart"/>
            <w:r w:rsidRPr="002C4D9E">
              <w:t>Teipat</w:t>
            </w:r>
            <w:proofErr w:type="spellEnd"/>
            <w:r w:rsidRPr="002C4D9E">
              <w:t xml:space="preserve"> </w:t>
            </w:r>
          </w:p>
        </w:tc>
        <w:tc>
          <w:tcPr>
            <w:tcW w:w="2093" w:type="dxa"/>
          </w:tcPr>
          <w:p w:rsidR="00C4052F" w:rsidRPr="00F82DE6" w:rsidRDefault="00C4052F" w:rsidP="00E315A4">
            <w:pPr>
              <w:suppressAutoHyphens/>
              <w:jc w:val="both"/>
            </w:pPr>
            <w:r w:rsidRPr="002C4D9E">
              <w:t>Assam and other spice growing districts in surrounding region as notified by the Spices Board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10</w:t>
            </w:r>
          </w:p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E24E52" w:rsidRDefault="00C4052F" w:rsidP="00E315A4">
            <w:pPr>
              <w:suppressAutoHyphens/>
              <w:ind w:hanging="131"/>
              <w:jc w:val="center"/>
              <w:rPr>
                <w:lang w:eastAsia="ar-SA"/>
              </w:rPr>
            </w:pPr>
            <w:r w:rsidRPr="00E24E52">
              <w:rPr>
                <w:lang w:eastAsia="ar-SA"/>
              </w:rPr>
              <w:t>Sikkim</w:t>
            </w:r>
          </w:p>
        </w:tc>
        <w:tc>
          <w:tcPr>
            <w:tcW w:w="1369" w:type="dxa"/>
            <w:shd w:val="clear" w:color="auto" w:fill="auto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proofErr w:type="spellStart"/>
            <w:r w:rsidRPr="00E24E52">
              <w:rPr>
                <w:lang w:eastAsia="ar-SA"/>
              </w:rPr>
              <w:t>Gangtok</w:t>
            </w:r>
            <w:proofErr w:type="spellEnd"/>
          </w:p>
        </w:tc>
        <w:tc>
          <w:tcPr>
            <w:tcW w:w="1843" w:type="dxa"/>
          </w:tcPr>
          <w:p w:rsidR="00C4052F" w:rsidRPr="00E24E52" w:rsidRDefault="00C4052F" w:rsidP="00E315A4">
            <w:pPr>
              <w:suppressAutoHyphens/>
              <w:rPr>
                <w:lang w:eastAsia="ar-SA"/>
              </w:rPr>
            </w:pPr>
            <w:proofErr w:type="spellStart"/>
            <w:r w:rsidRPr="00E24E52">
              <w:rPr>
                <w:lang w:eastAsia="ar-SA"/>
              </w:rPr>
              <w:t>Gangtok</w:t>
            </w:r>
            <w:proofErr w:type="spellEnd"/>
            <w:r w:rsidRPr="00E24E52">
              <w:rPr>
                <w:lang w:eastAsia="ar-SA"/>
              </w:rPr>
              <w:t xml:space="preserve"> SDA</w:t>
            </w:r>
          </w:p>
        </w:tc>
        <w:tc>
          <w:tcPr>
            <w:tcW w:w="1871" w:type="dxa"/>
          </w:tcPr>
          <w:p w:rsidR="00C4052F" w:rsidRPr="00E24E52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2C4D9E">
              <w:t xml:space="preserve">Large Cardamom, Ginger, </w:t>
            </w:r>
            <w:proofErr w:type="spellStart"/>
            <w:r w:rsidRPr="002C4D9E">
              <w:t>Chillies</w:t>
            </w:r>
            <w:proofErr w:type="spellEnd"/>
            <w:r w:rsidRPr="002C4D9E">
              <w:t>, Turmeric</w:t>
            </w:r>
          </w:p>
        </w:tc>
        <w:tc>
          <w:tcPr>
            <w:tcW w:w="2093" w:type="dxa"/>
          </w:tcPr>
          <w:p w:rsidR="00C4052F" w:rsidRPr="00F82DE6" w:rsidRDefault="00C4052F" w:rsidP="00E315A4">
            <w:pPr>
              <w:suppressAutoHyphens/>
              <w:jc w:val="both"/>
            </w:pPr>
            <w:r w:rsidRPr="002C4D9E">
              <w:t>Sikkim and other spice growing districts in surrounding region as notified by the Spices Board</w:t>
            </w:r>
          </w:p>
        </w:tc>
      </w:tr>
      <w:tr w:rsidR="00C4052F" w:rsidRPr="002C4D9E" w:rsidTr="00E315A4">
        <w:trPr>
          <w:jc w:val="center"/>
        </w:trPr>
        <w:tc>
          <w:tcPr>
            <w:tcW w:w="567" w:type="dxa"/>
          </w:tcPr>
          <w:p w:rsidR="00C4052F" w:rsidRPr="00F82DE6" w:rsidRDefault="00C4052F" w:rsidP="00E315A4">
            <w:pPr>
              <w:suppressAutoHyphens/>
              <w:rPr>
                <w:lang w:eastAsia="ar-SA"/>
              </w:rPr>
            </w:pPr>
            <w:r w:rsidRPr="00F82DE6">
              <w:rPr>
                <w:lang w:eastAsia="ar-SA"/>
              </w:rPr>
              <w:t>11</w:t>
            </w:r>
          </w:p>
          <w:p w:rsidR="00C4052F" w:rsidRPr="00F82DE6" w:rsidRDefault="00C4052F" w:rsidP="00E315A4">
            <w:pPr>
              <w:suppressAutoHyphens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</w:tcPr>
          <w:p w:rsidR="00C4052F" w:rsidRPr="00F82DE6" w:rsidRDefault="00C4052F" w:rsidP="00E315A4">
            <w:pPr>
              <w:suppressAutoHyphens/>
              <w:jc w:val="center"/>
              <w:rPr>
                <w:lang w:eastAsia="ar-SA"/>
              </w:rPr>
            </w:pPr>
            <w:r w:rsidRPr="00F82DE6">
              <w:rPr>
                <w:lang w:eastAsia="ar-SA"/>
              </w:rPr>
              <w:t>Jammu &amp; Kashmir</w:t>
            </w:r>
          </w:p>
          <w:p w:rsidR="00C4052F" w:rsidRPr="00F82DE6" w:rsidRDefault="00C4052F" w:rsidP="00E315A4">
            <w:pPr>
              <w:suppressAutoHyphens/>
              <w:rPr>
                <w:lang w:eastAsia="ar-SA"/>
              </w:rPr>
            </w:pPr>
          </w:p>
        </w:tc>
        <w:tc>
          <w:tcPr>
            <w:tcW w:w="1369" w:type="dxa"/>
            <w:shd w:val="clear" w:color="auto" w:fill="auto"/>
          </w:tcPr>
          <w:p w:rsidR="00C4052F" w:rsidRPr="00F82DE6" w:rsidRDefault="00C4052F" w:rsidP="00E315A4">
            <w:pPr>
              <w:suppressAutoHyphens/>
              <w:rPr>
                <w:lang w:eastAsia="ar-SA"/>
              </w:rPr>
            </w:pPr>
            <w:r w:rsidRPr="00F82DE6">
              <w:rPr>
                <w:lang w:eastAsia="ar-SA"/>
              </w:rPr>
              <w:t>Srinagar</w:t>
            </w:r>
          </w:p>
        </w:tc>
        <w:tc>
          <w:tcPr>
            <w:tcW w:w="1843" w:type="dxa"/>
          </w:tcPr>
          <w:p w:rsidR="00C4052F" w:rsidRPr="00F82DE6" w:rsidRDefault="00C4052F" w:rsidP="00E315A4">
            <w:pPr>
              <w:suppressAutoHyphens/>
              <w:rPr>
                <w:lang w:eastAsia="ar-SA"/>
              </w:rPr>
            </w:pPr>
            <w:r w:rsidRPr="00F82DE6">
              <w:rPr>
                <w:lang w:eastAsia="ar-SA"/>
              </w:rPr>
              <w:t>SPEDA</w:t>
            </w:r>
          </w:p>
        </w:tc>
        <w:tc>
          <w:tcPr>
            <w:tcW w:w="1871" w:type="dxa"/>
          </w:tcPr>
          <w:p w:rsidR="00C4052F" w:rsidRPr="00F82DE6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F82DE6">
              <w:rPr>
                <w:lang w:eastAsia="ar-SA"/>
              </w:rPr>
              <w:t>Saffron</w:t>
            </w:r>
          </w:p>
        </w:tc>
        <w:tc>
          <w:tcPr>
            <w:tcW w:w="2093" w:type="dxa"/>
          </w:tcPr>
          <w:p w:rsidR="00C4052F" w:rsidRPr="00F82DE6" w:rsidRDefault="00C4052F" w:rsidP="00E315A4">
            <w:pPr>
              <w:suppressAutoHyphens/>
              <w:jc w:val="both"/>
              <w:rPr>
                <w:lang w:eastAsia="ar-SA"/>
              </w:rPr>
            </w:pPr>
            <w:r w:rsidRPr="00F82DE6">
              <w:rPr>
                <w:lang w:eastAsia="ar-SA"/>
              </w:rPr>
              <w:t>State of Jammu &amp; Kashmir</w:t>
            </w:r>
          </w:p>
        </w:tc>
      </w:tr>
    </w:tbl>
    <w:p w:rsidR="00C4052F" w:rsidRDefault="00C4052F" w:rsidP="00C4052F"/>
    <w:p w:rsidR="00C4052F" w:rsidRDefault="00C4052F" w:rsidP="00C4052F">
      <w:pPr>
        <w:jc w:val="right"/>
      </w:pPr>
      <w:r>
        <w:br w:type="page"/>
      </w:r>
    </w:p>
    <w:p w:rsidR="00C4052F" w:rsidRDefault="00C4052F" w:rsidP="00C4052F">
      <w:pPr>
        <w:jc w:val="right"/>
        <w:rPr>
          <w:b/>
          <w:bCs/>
          <w:iCs/>
          <w:u w:val="single"/>
        </w:rPr>
      </w:pPr>
      <w:r w:rsidRPr="006C0172">
        <w:rPr>
          <w:b/>
          <w:bCs/>
          <w:iCs/>
          <w:u w:val="single"/>
        </w:rPr>
        <w:lastRenderedPageBreak/>
        <w:t>Annex-I</w:t>
      </w:r>
      <w:r>
        <w:rPr>
          <w:b/>
          <w:bCs/>
          <w:iCs/>
          <w:u w:val="single"/>
        </w:rPr>
        <w:t>I</w:t>
      </w:r>
    </w:p>
    <w:p w:rsidR="00C4052F" w:rsidRPr="00EA5942" w:rsidRDefault="00C4052F" w:rsidP="00C4052F">
      <w:pPr>
        <w:ind w:left="-450" w:right="-810"/>
        <w:jc w:val="center"/>
        <w:rPr>
          <w:b/>
          <w:bCs/>
          <w:iCs/>
          <w:u w:val="single"/>
        </w:rPr>
      </w:pPr>
      <w:r w:rsidRPr="00EA5942">
        <w:rPr>
          <w:b/>
          <w:iCs/>
          <w:u w:val="single"/>
        </w:rPr>
        <w:t>ITEM-WISE EXPORT OF SPICES FROM INDIA</w:t>
      </w:r>
    </w:p>
    <w:tbl>
      <w:tblPr>
        <w:tblW w:w="10500" w:type="dxa"/>
        <w:tblInd w:w="-17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920"/>
        <w:gridCol w:w="1740"/>
        <w:gridCol w:w="448"/>
        <w:gridCol w:w="1289"/>
        <w:gridCol w:w="332"/>
        <w:gridCol w:w="91"/>
      </w:tblGrid>
      <w:tr w:rsidR="00C4052F" w:rsidRPr="006A266D" w:rsidTr="00C4052F">
        <w:trPr>
          <w:trHeight w:val="437"/>
        </w:trPr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6A266D">
              <w:rPr>
                <w:bCs/>
                <w:color w:val="000000"/>
              </w:rPr>
              <w:t xml:space="preserve"> </w:t>
            </w:r>
            <w:r w:rsidRPr="00370001">
              <w:rPr>
                <w:bCs/>
                <w:color w:val="000000"/>
              </w:rPr>
              <w:t xml:space="preserve">(QTY. IN MT &amp; VALUE IN </w:t>
            </w:r>
            <w:proofErr w:type="spellStart"/>
            <w:r w:rsidRPr="00370001">
              <w:rPr>
                <w:bCs/>
                <w:color w:val="000000"/>
              </w:rPr>
              <w:t>Rs</w:t>
            </w:r>
            <w:proofErr w:type="spellEnd"/>
            <w:r w:rsidRPr="00370001">
              <w:rPr>
                <w:bCs/>
                <w:color w:val="000000"/>
              </w:rPr>
              <w:t>. LAKHS)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2013-14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2014-15(Est)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ITEM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QTY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VALUE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QTY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VALUE</w:t>
            </w:r>
          </w:p>
        </w:tc>
      </w:tr>
      <w:tr w:rsidR="00C4052F" w:rsidRPr="006A266D" w:rsidTr="00C4052F">
        <w:trPr>
          <w:gridAfter w:val="1"/>
          <w:wAfter w:w="91" w:type="dxa"/>
          <w:trHeight w:val="3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PEPPER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21,250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94,002.34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21,450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120,842.16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CARDAMOM(S)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3,600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28,380.88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3,795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32,346.75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CARDAMOM(L)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1,110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7,961.15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665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8,403.90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CHILLI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312,500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272,227.20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347,000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351,710.00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GINGER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23,300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25,614.27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40,400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33,133.00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TURMERIC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77,500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66,675.85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86,000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74,435.00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CORIANDER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45,750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37,185.65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46,000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49,812.50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CUMIN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121,500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160,006.00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155,500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183,820.00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CELERY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5,600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3,661.48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5,650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4,302.10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FENNEL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17,300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16,001.42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11,650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13,165.50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FENUGREEK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35,575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13,378.37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23,100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13,947.63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OTHER SEEDS (1)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27,800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15,425.65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28,250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16,512.50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GARLIC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25,650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8,387.05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21,610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8,183.00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TAMARIND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16,000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9,440.00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13,500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8,919.00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NUTMEG &amp; MACE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4,450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26,285.62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4,475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26,797.50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OTHER SPICES 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18,700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32,406.80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23,000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35,996.00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CURRY POWDER/PASTE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23,750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40,132.03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24,650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47,626.00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MINT PRODUCTS (3)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24,500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343,042.20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25,750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268,925.00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SPICE OILS &amp; OLEORESINS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11,415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173,324.85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11,475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191,090.00</w:t>
            </w:r>
          </w:p>
        </w:tc>
      </w:tr>
      <w:tr w:rsidR="00C4052F" w:rsidRPr="006A266D" w:rsidTr="00C4052F">
        <w:trPr>
          <w:gridAfter w:val="1"/>
          <w:wAfter w:w="91" w:type="dxa"/>
          <w:trHeight w:val="2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TOTAL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817,250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1,373,539.26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893,920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1,489,967.53</w:t>
            </w:r>
          </w:p>
        </w:tc>
      </w:tr>
      <w:tr w:rsidR="00C4052F" w:rsidRPr="006A266D" w:rsidTr="00C4052F">
        <w:trPr>
          <w:gridAfter w:val="1"/>
          <w:wAfter w:w="91" w:type="dxa"/>
          <w:trHeight w:val="49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052F" w:rsidRPr="00370001" w:rsidRDefault="00C4052F" w:rsidP="00C4052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 xml:space="preserve"> VALUE IN MILLION US 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E315A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E315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2,267.67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E315A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2F" w:rsidRPr="00370001" w:rsidRDefault="00C4052F" w:rsidP="00E315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70001">
              <w:rPr>
                <w:bCs/>
                <w:color w:val="000000"/>
              </w:rPr>
              <w:t>2</w:t>
            </w:r>
            <w:r w:rsidRPr="006A266D">
              <w:rPr>
                <w:bCs/>
                <w:color w:val="000000"/>
              </w:rPr>
              <w:t>,</w:t>
            </w:r>
            <w:r w:rsidRPr="00370001">
              <w:rPr>
                <w:bCs/>
                <w:color w:val="000000"/>
              </w:rPr>
              <w:t>432.85</w:t>
            </w:r>
          </w:p>
        </w:tc>
      </w:tr>
    </w:tbl>
    <w:p w:rsidR="00C4052F" w:rsidRDefault="00C4052F">
      <w:pPr>
        <w:rPr>
          <w:bCs/>
        </w:rPr>
      </w:pPr>
    </w:p>
    <w:p w:rsidR="002E3E4A" w:rsidRPr="00EF31CE" w:rsidRDefault="00C4052F">
      <w:pPr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bCs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af-ZA"/>
        </w:rPr>
        <w:t>*************</w:t>
      </w:r>
      <w:bookmarkStart w:id="0" w:name="_GoBack"/>
      <w:bookmarkEnd w:id="0"/>
    </w:p>
    <w:sectPr w:rsidR="002E3E4A" w:rsidRPr="00EF31CE" w:rsidSect="00831370">
      <w:pgSz w:w="12240" w:h="15840"/>
      <w:pgMar w:top="567" w:right="17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450"/>
    <w:multiLevelType w:val="hybridMultilevel"/>
    <w:tmpl w:val="5322AA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A0463434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715F"/>
    <w:multiLevelType w:val="hybridMultilevel"/>
    <w:tmpl w:val="8C58961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AE3824E8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7B67"/>
    <w:multiLevelType w:val="hybridMultilevel"/>
    <w:tmpl w:val="14B82B5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11925614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3284"/>
    <w:multiLevelType w:val="hybridMultilevel"/>
    <w:tmpl w:val="B352F47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759C5776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28A2"/>
    <w:multiLevelType w:val="hybridMultilevel"/>
    <w:tmpl w:val="E1E0D238"/>
    <w:lvl w:ilvl="0" w:tplc="4B42B2E6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822F7"/>
    <w:multiLevelType w:val="hybridMultilevel"/>
    <w:tmpl w:val="39F83426"/>
    <w:lvl w:ilvl="0" w:tplc="536473D6">
      <w:start w:val="1"/>
      <w:numFmt w:val="lowerLetter"/>
      <w:lvlText w:val="(%1)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46F3A"/>
    <w:multiLevelType w:val="hybridMultilevel"/>
    <w:tmpl w:val="F4725EC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3E84D8BE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C7650"/>
    <w:multiLevelType w:val="hybridMultilevel"/>
    <w:tmpl w:val="1D2EB850"/>
    <w:lvl w:ilvl="0" w:tplc="868E80FE">
      <w:start w:val="1"/>
      <w:numFmt w:val="lowerLetter"/>
      <w:lvlText w:val="(%1)"/>
      <w:lvlJc w:val="left"/>
      <w:pPr>
        <w:ind w:left="1440" w:hanging="10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C5E1C"/>
    <w:multiLevelType w:val="hybridMultilevel"/>
    <w:tmpl w:val="91EC9C0C"/>
    <w:lvl w:ilvl="0" w:tplc="AB1A737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6D"/>
    <w:multiLevelType w:val="hybridMultilevel"/>
    <w:tmpl w:val="FA32161C"/>
    <w:lvl w:ilvl="0" w:tplc="8F009FB0">
      <w:start w:val="1"/>
      <w:numFmt w:val="lowerLetter"/>
      <w:lvlText w:val="(%1)"/>
      <w:lvlJc w:val="left"/>
      <w:pPr>
        <w:ind w:left="759" w:hanging="720"/>
      </w:pPr>
      <w:rPr>
        <w:rFonts w:ascii="Arial" w:eastAsiaTheme="minorEastAsia" w:hAnsi="Arial" w:cs="Arial" w:hint="default"/>
        <w:sz w:val="24"/>
        <w:szCs w:val="24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128B5"/>
    <w:multiLevelType w:val="hybridMultilevel"/>
    <w:tmpl w:val="D0C0CF7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C4C2E27E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21BEA"/>
    <w:multiLevelType w:val="hybridMultilevel"/>
    <w:tmpl w:val="39B2B60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500B506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4137"/>
    <w:multiLevelType w:val="hybridMultilevel"/>
    <w:tmpl w:val="BCEE752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7B3E7AA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82075"/>
    <w:multiLevelType w:val="hybridMultilevel"/>
    <w:tmpl w:val="4CF021D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67D0F492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C3F36"/>
    <w:multiLevelType w:val="hybridMultilevel"/>
    <w:tmpl w:val="ECA66212"/>
    <w:lvl w:ilvl="0" w:tplc="BFAEF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D22A2"/>
    <w:multiLevelType w:val="hybridMultilevel"/>
    <w:tmpl w:val="0BC280B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B4C3852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78BD"/>
    <w:multiLevelType w:val="hybridMultilevel"/>
    <w:tmpl w:val="8CC62A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8B70AABA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E56AF"/>
    <w:multiLevelType w:val="hybridMultilevel"/>
    <w:tmpl w:val="9A7C2A5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358A7"/>
    <w:multiLevelType w:val="hybridMultilevel"/>
    <w:tmpl w:val="527A7DA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61266478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50FAA"/>
    <w:multiLevelType w:val="hybridMultilevel"/>
    <w:tmpl w:val="F9A6E6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71624E34">
      <w:start w:val="1"/>
      <w:numFmt w:val="lowerLetter"/>
      <w:lvlText w:val="%2)"/>
      <w:lvlJc w:val="left"/>
      <w:pPr>
        <w:ind w:left="1440" w:hanging="360"/>
      </w:pPr>
      <w:rPr>
        <w:rFonts w:ascii="Times-Roman" w:eastAsiaTheme="minorEastAsia" w:hAnsi="Times-Roman" w:cs="Times-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A1E18"/>
    <w:multiLevelType w:val="hybridMultilevel"/>
    <w:tmpl w:val="4A784EC8"/>
    <w:lvl w:ilvl="0" w:tplc="74E84466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16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18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DE"/>
    <w:rsid w:val="000032AB"/>
    <w:rsid w:val="00004644"/>
    <w:rsid w:val="0000490C"/>
    <w:rsid w:val="000451BB"/>
    <w:rsid w:val="00051A45"/>
    <w:rsid w:val="0005275E"/>
    <w:rsid w:val="00054B80"/>
    <w:rsid w:val="00056803"/>
    <w:rsid w:val="00056FFC"/>
    <w:rsid w:val="00066F3B"/>
    <w:rsid w:val="00085BF8"/>
    <w:rsid w:val="000B404C"/>
    <w:rsid w:val="000C42CE"/>
    <w:rsid w:val="000D7366"/>
    <w:rsid w:val="000E54A1"/>
    <w:rsid w:val="000E67C3"/>
    <w:rsid w:val="000F1BD7"/>
    <w:rsid w:val="000F5AB9"/>
    <w:rsid w:val="00110FF9"/>
    <w:rsid w:val="00122B1C"/>
    <w:rsid w:val="00122F1D"/>
    <w:rsid w:val="0012410A"/>
    <w:rsid w:val="00124D9B"/>
    <w:rsid w:val="001312FF"/>
    <w:rsid w:val="00135F5C"/>
    <w:rsid w:val="001363A3"/>
    <w:rsid w:val="0014046A"/>
    <w:rsid w:val="001437C7"/>
    <w:rsid w:val="001508DD"/>
    <w:rsid w:val="00172FDC"/>
    <w:rsid w:val="001815AF"/>
    <w:rsid w:val="0018480B"/>
    <w:rsid w:val="00187DF3"/>
    <w:rsid w:val="00191DDE"/>
    <w:rsid w:val="001959AC"/>
    <w:rsid w:val="00195ECB"/>
    <w:rsid w:val="001962C7"/>
    <w:rsid w:val="001A063D"/>
    <w:rsid w:val="001D2BC5"/>
    <w:rsid w:val="001F1B9D"/>
    <w:rsid w:val="002030CA"/>
    <w:rsid w:val="00204BE7"/>
    <w:rsid w:val="00222B49"/>
    <w:rsid w:val="002334E4"/>
    <w:rsid w:val="002408E6"/>
    <w:rsid w:val="00243B8C"/>
    <w:rsid w:val="00244BED"/>
    <w:rsid w:val="00253B33"/>
    <w:rsid w:val="00253DEA"/>
    <w:rsid w:val="00270739"/>
    <w:rsid w:val="00274E13"/>
    <w:rsid w:val="00280E59"/>
    <w:rsid w:val="00290316"/>
    <w:rsid w:val="00293D89"/>
    <w:rsid w:val="0029418A"/>
    <w:rsid w:val="00295038"/>
    <w:rsid w:val="002964F4"/>
    <w:rsid w:val="002A4A49"/>
    <w:rsid w:val="002B5FD3"/>
    <w:rsid w:val="002C39A5"/>
    <w:rsid w:val="002D1B7E"/>
    <w:rsid w:val="002D2E3F"/>
    <w:rsid w:val="002D3FC2"/>
    <w:rsid w:val="002D6218"/>
    <w:rsid w:val="002E3E4A"/>
    <w:rsid w:val="002E409C"/>
    <w:rsid w:val="002E4914"/>
    <w:rsid w:val="002E6A4F"/>
    <w:rsid w:val="002E6C26"/>
    <w:rsid w:val="00327A7E"/>
    <w:rsid w:val="0033085E"/>
    <w:rsid w:val="003356D8"/>
    <w:rsid w:val="00345BF3"/>
    <w:rsid w:val="00346D83"/>
    <w:rsid w:val="00352BD3"/>
    <w:rsid w:val="003561AD"/>
    <w:rsid w:val="00374CE6"/>
    <w:rsid w:val="00385EB8"/>
    <w:rsid w:val="003A7FEF"/>
    <w:rsid w:val="003B6B86"/>
    <w:rsid w:val="003C25E3"/>
    <w:rsid w:val="003D5683"/>
    <w:rsid w:val="003F1066"/>
    <w:rsid w:val="003F1B1C"/>
    <w:rsid w:val="00401682"/>
    <w:rsid w:val="00401D0B"/>
    <w:rsid w:val="00411C95"/>
    <w:rsid w:val="00426B4C"/>
    <w:rsid w:val="004337A5"/>
    <w:rsid w:val="0043397A"/>
    <w:rsid w:val="004443DE"/>
    <w:rsid w:val="00446FFC"/>
    <w:rsid w:val="0045094E"/>
    <w:rsid w:val="00452893"/>
    <w:rsid w:val="00474AFF"/>
    <w:rsid w:val="00476237"/>
    <w:rsid w:val="00482DD8"/>
    <w:rsid w:val="004C595D"/>
    <w:rsid w:val="004C788F"/>
    <w:rsid w:val="004D1DAE"/>
    <w:rsid w:val="004E430F"/>
    <w:rsid w:val="004E7860"/>
    <w:rsid w:val="004E7984"/>
    <w:rsid w:val="005028BB"/>
    <w:rsid w:val="00510291"/>
    <w:rsid w:val="00513ABB"/>
    <w:rsid w:val="00515CA2"/>
    <w:rsid w:val="00521D06"/>
    <w:rsid w:val="005258DA"/>
    <w:rsid w:val="00536F57"/>
    <w:rsid w:val="0054627C"/>
    <w:rsid w:val="005654F2"/>
    <w:rsid w:val="00566B07"/>
    <w:rsid w:val="00587F19"/>
    <w:rsid w:val="005B0926"/>
    <w:rsid w:val="005B13A5"/>
    <w:rsid w:val="005B273E"/>
    <w:rsid w:val="005B5808"/>
    <w:rsid w:val="005B593F"/>
    <w:rsid w:val="005C098F"/>
    <w:rsid w:val="005D1AF8"/>
    <w:rsid w:val="005D6D8B"/>
    <w:rsid w:val="005E21D9"/>
    <w:rsid w:val="005E2687"/>
    <w:rsid w:val="005F1338"/>
    <w:rsid w:val="005F2478"/>
    <w:rsid w:val="005F7F87"/>
    <w:rsid w:val="00605F1B"/>
    <w:rsid w:val="00607FB2"/>
    <w:rsid w:val="0061380F"/>
    <w:rsid w:val="00617F60"/>
    <w:rsid w:val="00624BF0"/>
    <w:rsid w:val="00631A0D"/>
    <w:rsid w:val="00632F2A"/>
    <w:rsid w:val="00634BFF"/>
    <w:rsid w:val="00637A5D"/>
    <w:rsid w:val="006417C8"/>
    <w:rsid w:val="0065295E"/>
    <w:rsid w:val="00652C20"/>
    <w:rsid w:val="00665C64"/>
    <w:rsid w:val="00672578"/>
    <w:rsid w:val="006842B8"/>
    <w:rsid w:val="00686084"/>
    <w:rsid w:val="00694AF1"/>
    <w:rsid w:val="006963C8"/>
    <w:rsid w:val="006977B6"/>
    <w:rsid w:val="006A6692"/>
    <w:rsid w:val="006B2235"/>
    <w:rsid w:val="006B48AA"/>
    <w:rsid w:val="006C58BF"/>
    <w:rsid w:val="006D37E2"/>
    <w:rsid w:val="006E019C"/>
    <w:rsid w:val="006E4415"/>
    <w:rsid w:val="006E6CE6"/>
    <w:rsid w:val="006F4144"/>
    <w:rsid w:val="00701290"/>
    <w:rsid w:val="00706ECA"/>
    <w:rsid w:val="00720E2E"/>
    <w:rsid w:val="00723B59"/>
    <w:rsid w:val="0075034F"/>
    <w:rsid w:val="00754417"/>
    <w:rsid w:val="007547E9"/>
    <w:rsid w:val="0079695C"/>
    <w:rsid w:val="007A3850"/>
    <w:rsid w:val="007B12C9"/>
    <w:rsid w:val="007D3BD9"/>
    <w:rsid w:val="007D79D7"/>
    <w:rsid w:val="007E14F9"/>
    <w:rsid w:val="007F0D87"/>
    <w:rsid w:val="007F4C93"/>
    <w:rsid w:val="00817F34"/>
    <w:rsid w:val="008235F6"/>
    <w:rsid w:val="00830417"/>
    <w:rsid w:val="008307E4"/>
    <w:rsid w:val="00831370"/>
    <w:rsid w:val="008332E0"/>
    <w:rsid w:val="00836DAA"/>
    <w:rsid w:val="00837DD6"/>
    <w:rsid w:val="00840438"/>
    <w:rsid w:val="00840ADD"/>
    <w:rsid w:val="0084192D"/>
    <w:rsid w:val="00841E66"/>
    <w:rsid w:val="00844EA3"/>
    <w:rsid w:val="00851482"/>
    <w:rsid w:val="008747B4"/>
    <w:rsid w:val="00877475"/>
    <w:rsid w:val="0088100B"/>
    <w:rsid w:val="008823C7"/>
    <w:rsid w:val="00882F4A"/>
    <w:rsid w:val="0088345B"/>
    <w:rsid w:val="00891770"/>
    <w:rsid w:val="00897BF7"/>
    <w:rsid w:val="008A6121"/>
    <w:rsid w:val="008B0949"/>
    <w:rsid w:val="008B52D3"/>
    <w:rsid w:val="008B5DE3"/>
    <w:rsid w:val="008C1D0D"/>
    <w:rsid w:val="008C4B97"/>
    <w:rsid w:val="008C54E5"/>
    <w:rsid w:val="008C5C07"/>
    <w:rsid w:val="008C7EA9"/>
    <w:rsid w:val="008D0B42"/>
    <w:rsid w:val="008D172D"/>
    <w:rsid w:val="008D4CC7"/>
    <w:rsid w:val="008E0DC7"/>
    <w:rsid w:val="008E2837"/>
    <w:rsid w:val="008F3A1B"/>
    <w:rsid w:val="008F477E"/>
    <w:rsid w:val="00914F64"/>
    <w:rsid w:val="00931D69"/>
    <w:rsid w:val="00934643"/>
    <w:rsid w:val="00964E0F"/>
    <w:rsid w:val="00990C94"/>
    <w:rsid w:val="00992288"/>
    <w:rsid w:val="00992FA7"/>
    <w:rsid w:val="009D15A2"/>
    <w:rsid w:val="009D7054"/>
    <w:rsid w:val="009E35B8"/>
    <w:rsid w:val="009F1D51"/>
    <w:rsid w:val="00A0614D"/>
    <w:rsid w:val="00A1658F"/>
    <w:rsid w:val="00A20F34"/>
    <w:rsid w:val="00A36257"/>
    <w:rsid w:val="00A459AD"/>
    <w:rsid w:val="00A4765C"/>
    <w:rsid w:val="00A54277"/>
    <w:rsid w:val="00A57BEF"/>
    <w:rsid w:val="00A674F9"/>
    <w:rsid w:val="00A829A5"/>
    <w:rsid w:val="00A92D67"/>
    <w:rsid w:val="00A9418F"/>
    <w:rsid w:val="00AA5227"/>
    <w:rsid w:val="00AB03DB"/>
    <w:rsid w:val="00AB48BB"/>
    <w:rsid w:val="00AB5421"/>
    <w:rsid w:val="00AD3BFE"/>
    <w:rsid w:val="00AE072E"/>
    <w:rsid w:val="00AE53D6"/>
    <w:rsid w:val="00AE55EC"/>
    <w:rsid w:val="00AF1939"/>
    <w:rsid w:val="00B1577F"/>
    <w:rsid w:val="00B162E7"/>
    <w:rsid w:val="00B35183"/>
    <w:rsid w:val="00B35F92"/>
    <w:rsid w:val="00B427E5"/>
    <w:rsid w:val="00B42DEF"/>
    <w:rsid w:val="00B566B9"/>
    <w:rsid w:val="00B57FB7"/>
    <w:rsid w:val="00B82935"/>
    <w:rsid w:val="00B85C55"/>
    <w:rsid w:val="00BA4EF7"/>
    <w:rsid w:val="00BB42EE"/>
    <w:rsid w:val="00BC018E"/>
    <w:rsid w:val="00BC569B"/>
    <w:rsid w:val="00BD195C"/>
    <w:rsid w:val="00BD53BD"/>
    <w:rsid w:val="00BD7554"/>
    <w:rsid w:val="00BD7BAA"/>
    <w:rsid w:val="00BE2254"/>
    <w:rsid w:val="00BE457E"/>
    <w:rsid w:val="00BF5D2A"/>
    <w:rsid w:val="00BF6E75"/>
    <w:rsid w:val="00C02AC4"/>
    <w:rsid w:val="00C051A1"/>
    <w:rsid w:val="00C059A6"/>
    <w:rsid w:val="00C05F56"/>
    <w:rsid w:val="00C3026C"/>
    <w:rsid w:val="00C4052F"/>
    <w:rsid w:val="00C4381E"/>
    <w:rsid w:val="00C6014F"/>
    <w:rsid w:val="00C72B9B"/>
    <w:rsid w:val="00C85F87"/>
    <w:rsid w:val="00C87093"/>
    <w:rsid w:val="00C92EEE"/>
    <w:rsid w:val="00CA3F5F"/>
    <w:rsid w:val="00CA73E2"/>
    <w:rsid w:val="00CB6741"/>
    <w:rsid w:val="00CC03FA"/>
    <w:rsid w:val="00CD3397"/>
    <w:rsid w:val="00CE2022"/>
    <w:rsid w:val="00CE3C32"/>
    <w:rsid w:val="00D13658"/>
    <w:rsid w:val="00D16C23"/>
    <w:rsid w:val="00D22DAD"/>
    <w:rsid w:val="00D3263D"/>
    <w:rsid w:val="00D43B88"/>
    <w:rsid w:val="00D45E77"/>
    <w:rsid w:val="00D46AFA"/>
    <w:rsid w:val="00D70ED6"/>
    <w:rsid w:val="00D9712D"/>
    <w:rsid w:val="00DA18A7"/>
    <w:rsid w:val="00DA47C1"/>
    <w:rsid w:val="00DB1003"/>
    <w:rsid w:val="00DE1EDB"/>
    <w:rsid w:val="00DE7BAB"/>
    <w:rsid w:val="00DF0121"/>
    <w:rsid w:val="00DF626B"/>
    <w:rsid w:val="00E0437A"/>
    <w:rsid w:val="00E06F7B"/>
    <w:rsid w:val="00E205F2"/>
    <w:rsid w:val="00E30612"/>
    <w:rsid w:val="00E315A4"/>
    <w:rsid w:val="00E33AFB"/>
    <w:rsid w:val="00E3510A"/>
    <w:rsid w:val="00E37364"/>
    <w:rsid w:val="00E4618F"/>
    <w:rsid w:val="00E6365D"/>
    <w:rsid w:val="00E66DDC"/>
    <w:rsid w:val="00E67155"/>
    <w:rsid w:val="00E7342B"/>
    <w:rsid w:val="00E77E32"/>
    <w:rsid w:val="00E93673"/>
    <w:rsid w:val="00EA1086"/>
    <w:rsid w:val="00EA4BAF"/>
    <w:rsid w:val="00EB1D5C"/>
    <w:rsid w:val="00EB5682"/>
    <w:rsid w:val="00EB73B0"/>
    <w:rsid w:val="00ED0C00"/>
    <w:rsid w:val="00ED2D91"/>
    <w:rsid w:val="00EE101A"/>
    <w:rsid w:val="00EF0478"/>
    <w:rsid w:val="00EF206D"/>
    <w:rsid w:val="00EF2C0B"/>
    <w:rsid w:val="00EF31CE"/>
    <w:rsid w:val="00EF46BD"/>
    <w:rsid w:val="00EF51B0"/>
    <w:rsid w:val="00F0140F"/>
    <w:rsid w:val="00F07C87"/>
    <w:rsid w:val="00F12614"/>
    <w:rsid w:val="00F26A3F"/>
    <w:rsid w:val="00F34A7B"/>
    <w:rsid w:val="00F34D81"/>
    <w:rsid w:val="00F366B7"/>
    <w:rsid w:val="00F43F17"/>
    <w:rsid w:val="00F52B1F"/>
    <w:rsid w:val="00F52C7C"/>
    <w:rsid w:val="00F6109E"/>
    <w:rsid w:val="00F647E2"/>
    <w:rsid w:val="00F81E23"/>
    <w:rsid w:val="00F8305D"/>
    <w:rsid w:val="00F85EB2"/>
    <w:rsid w:val="00FA1BA0"/>
    <w:rsid w:val="00FA722F"/>
    <w:rsid w:val="00FB19F4"/>
    <w:rsid w:val="00FC3DA4"/>
    <w:rsid w:val="00FC6D1E"/>
    <w:rsid w:val="00FD1A4C"/>
    <w:rsid w:val="00FE1C77"/>
    <w:rsid w:val="00FE2354"/>
    <w:rsid w:val="00FE39A6"/>
    <w:rsid w:val="00FF43F9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78BC0-3FAC-4F69-8FAA-9AA534D6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7C3"/>
  </w:style>
  <w:style w:type="paragraph" w:styleId="Heading1">
    <w:name w:val="heading 1"/>
    <w:basedOn w:val="Normal"/>
    <w:next w:val="Normal"/>
    <w:link w:val="Heading1Char"/>
    <w:uiPriority w:val="9"/>
    <w:qFormat/>
    <w:rsid w:val="00191D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Mangal"/>
      <w:b/>
      <w:bCs/>
      <w:sz w:val="20"/>
      <w:szCs w:val="20"/>
      <w:lang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D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DDE"/>
    <w:rPr>
      <w:rFonts w:ascii="Times New Roman" w:eastAsia="Times New Roman" w:hAnsi="Times New Roman" w:cs="Mangal"/>
      <w:b/>
      <w:bCs/>
      <w:sz w:val="20"/>
      <w:szCs w:val="20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DDE"/>
    <w:rPr>
      <w:rFonts w:ascii="Times New Roman" w:eastAsia="Times New Roman" w:hAnsi="Times New Roman" w:cs="Mangal"/>
      <w:sz w:val="24"/>
      <w:szCs w:val="24"/>
      <w:lang w:bidi="hi-IN"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List Paragraph2 Char"/>
    <w:basedOn w:val="DefaultParagraphFont"/>
    <w:link w:val="ListParagraph"/>
    <w:uiPriority w:val="34"/>
    <w:locked/>
    <w:rsid w:val="00191DDE"/>
    <w:rPr>
      <w:rFonts w:ascii="Calibri" w:eastAsia="Times New Roman" w:hAnsi="Calibri" w:cs="Mangal"/>
      <w:lang w:val="en-IN" w:eastAsia="en-IN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,3"/>
    <w:basedOn w:val="Normal"/>
    <w:link w:val="ListParagraphChar"/>
    <w:uiPriority w:val="34"/>
    <w:qFormat/>
    <w:rsid w:val="00191DDE"/>
    <w:pPr>
      <w:spacing w:after="0"/>
      <w:ind w:left="720"/>
      <w:contextualSpacing/>
    </w:pPr>
    <w:rPr>
      <w:rFonts w:ascii="Calibri" w:eastAsia="Times New Roman" w:hAnsi="Calibri" w:cs="Mangal"/>
      <w:lang w:val="en-IN" w:eastAsia="en-IN"/>
    </w:rPr>
  </w:style>
  <w:style w:type="table" w:styleId="TableGrid">
    <w:name w:val="Table Grid"/>
    <w:basedOn w:val="TableNormal"/>
    <w:uiPriority w:val="59"/>
    <w:rsid w:val="00BE457E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E457E"/>
    <w:pPr>
      <w:spacing w:after="0" w:line="240" w:lineRule="auto"/>
    </w:pPr>
    <w:rPr>
      <w:rFonts w:eastAsiaTheme="minorHAnsi"/>
      <w:szCs w:val="20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36DAA"/>
    <w:rPr>
      <w:rFonts w:eastAsiaTheme="minorHAnsi"/>
      <w:szCs w:val="20"/>
      <w:lang w:bidi="hi-IN"/>
    </w:rPr>
  </w:style>
  <w:style w:type="paragraph" w:styleId="BodyText">
    <w:name w:val="Body Text"/>
    <w:basedOn w:val="Normal"/>
    <w:link w:val="BodyTextChar"/>
    <w:semiHidden/>
    <w:unhideWhenUsed/>
    <w:rsid w:val="003D56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D568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3D56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D5683"/>
  </w:style>
  <w:style w:type="paragraph" w:customStyle="1" w:styleId="default">
    <w:name w:val="default"/>
    <w:rsid w:val="00B3518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rsid w:val="00B351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2E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42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42B8"/>
  </w:style>
  <w:style w:type="paragraph" w:styleId="BodyTextIndent2">
    <w:name w:val="Body Text Indent 2"/>
    <w:basedOn w:val="Normal"/>
    <w:link w:val="BodyTextIndent2Char"/>
    <w:uiPriority w:val="99"/>
    <w:unhideWhenUsed/>
    <w:rsid w:val="00AB54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B5421"/>
  </w:style>
  <w:style w:type="paragraph" w:styleId="BalloonText">
    <w:name w:val="Balloon Text"/>
    <w:basedOn w:val="Normal"/>
    <w:link w:val="BalloonTextChar"/>
    <w:uiPriority w:val="99"/>
    <w:semiHidden/>
    <w:unhideWhenUsed/>
    <w:rsid w:val="00DB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F1B1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1B1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7F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FEF"/>
    <w:rPr>
      <w:color w:val="954F72"/>
      <w:u w:val="single"/>
    </w:rPr>
  </w:style>
  <w:style w:type="paragraph" w:customStyle="1" w:styleId="xl65">
    <w:name w:val="xl65"/>
    <w:basedOn w:val="Normal"/>
    <w:rsid w:val="003A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IN" w:eastAsia="en-IN" w:bidi="hi-IN"/>
    </w:rPr>
  </w:style>
  <w:style w:type="paragraph" w:customStyle="1" w:styleId="xl66">
    <w:name w:val="xl66"/>
    <w:basedOn w:val="Normal"/>
    <w:rsid w:val="003A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IN" w:eastAsia="en-IN" w:bidi="hi-I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6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63A3"/>
    <w:rPr>
      <w:sz w:val="16"/>
      <w:szCs w:val="16"/>
    </w:rPr>
  </w:style>
  <w:style w:type="paragraph" w:customStyle="1" w:styleId="DefaultText">
    <w:name w:val="Default Text"/>
    <w:basedOn w:val="Normal"/>
    <w:rsid w:val="00C05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22">
    <w:name w:val="xl22"/>
    <w:basedOn w:val="Normal"/>
    <w:uiPriority w:val="99"/>
    <w:rsid w:val="004C595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4C4B-ED60-4E5A-8657-5B4AB758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</dc:creator>
  <cp:lastModifiedBy>Lenovo</cp:lastModifiedBy>
  <cp:revision>4</cp:revision>
  <cp:lastPrinted>2015-08-11T10:06:00Z</cp:lastPrinted>
  <dcterms:created xsi:type="dcterms:W3CDTF">2015-08-12T10:19:00Z</dcterms:created>
  <dcterms:modified xsi:type="dcterms:W3CDTF">2015-08-12T10:19:00Z</dcterms:modified>
</cp:coreProperties>
</file>